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87" w:rsidRPr="00D24BDB" w:rsidRDefault="00E23D87" w:rsidP="00E23D8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24BDB">
        <w:rPr>
          <w:rFonts w:ascii="標楷體" w:eastAsia="標楷體" w:hAnsi="標楷體"/>
          <w:b/>
          <w:sz w:val="32"/>
          <w:szCs w:val="32"/>
        </w:rPr>
        <w:t>國立澎湖科技大學</w:t>
      </w:r>
      <w:r w:rsidRPr="00D24BDB">
        <w:rPr>
          <w:rFonts w:ascii="標楷體" w:eastAsia="標楷體" w:hAnsi="標楷體" w:hint="eastAsia"/>
          <w:b/>
          <w:sz w:val="32"/>
          <w:szCs w:val="32"/>
        </w:rPr>
        <w:t>共同教育委員會</w:t>
      </w:r>
      <w:r w:rsidRPr="00D24BDB">
        <w:rPr>
          <w:rFonts w:ascii="標楷體" w:eastAsia="標楷體" w:hAnsi="標楷體"/>
          <w:b/>
          <w:sz w:val="32"/>
          <w:szCs w:val="32"/>
        </w:rPr>
        <w:t>教師評鑑</w:t>
      </w:r>
      <w:r w:rsidRPr="00D24BDB">
        <w:rPr>
          <w:rFonts w:ascii="標楷體" w:eastAsia="標楷體" w:hAnsi="標楷體" w:hint="eastAsia"/>
          <w:b/>
          <w:sz w:val="32"/>
          <w:szCs w:val="32"/>
        </w:rPr>
        <w:t>準則</w:t>
      </w:r>
    </w:p>
    <w:p w:rsidR="00E23D87" w:rsidRPr="009C15F7" w:rsidRDefault="00E23D87" w:rsidP="00E23D87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23D87" w:rsidRPr="009C15F7" w:rsidTr="00D7109E">
        <w:tc>
          <w:tcPr>
            <w:tcW w:w="9126" w:type="dxa"/>
            <w:shd w:val="clear" w:color="auto" w:fill="auto"/>
          </w:tcPr>
          <w:p w:rsidR="00E23D87" w:rsidRPr="009C15F7" w:rsidRDefault="00E23D87" w:rsidP="00E23D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15F7">
              <w:rPr>
                <w:rFonts w:ascii="標楷體" w:eastAsia="標楷體" w:hAnsi="標楷體" w:cs="新細明體" w:hint="eastAsia"/>
                <w:kern w:val="0"/>
              </w:rPr>
              <w:t>110年</w:t>
            </w:r>
            <w:r w:rsidRPr="009C15F7">
              <w:rPr>
                <w:rFonts w:ascii="標楷體" w:eastAsia="標楷體" w:hAnsi="標楷體"/>
                <w:spacing w:val="1"/>
                <w:kern w:val="0"/>
              </w:rPr>
              <w:t>09</w:t>
            </w:r>
            <w:r w:rsidRPr="009C15F7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9C15F7">
              <w:rPr>
                <w:rFonts w:ascii="標楷體" w:eastAsia="標楷體" w:hAnsi="標楷體"/>
                <w:spacing w:val="-1"/>
                <w:kern w:val="0"/>
              </w:rPr>
              <w:t>15</w:t>
            </w:r>
            <w:r w:rsidRPr="009C15F7">
              <w:rPr>
                <w:rFonts w:ascii="標楷體" w:eastAsia="標楷體" w:hAnsi="標楷體" w:cs="新細明體" w:hint="eastAsia"/>
                <w:kern w:val="0"/>
              </w:rPr>
              <w:t>日院</w:t>
            </w:r>
            <w:proofErr w:type="gramStart"/>
            <w:r w:rsidRPr="009C15F7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C15F7">
              <w:rPr>
                <w:rFonts w:ascii="標楷體" w:eastAsia="標楷體" w:hAnsi="標楷體" w:cs="新細明體" w:hint="eastAsia"/>
                <w:kern w:val="0"/>
              </w:rPr>
              <w:t>會議</w:t>
            </w:r>
            <w:r>
              <w:rPr>
                <w:rFonts w:ascii="標楷體" w:eastAsia="標楷體" w:hAnsi="標楷體" w:cs="新細明體" w:hint="eastAsia"/>
                <w:kern w:val="0"/>
              </w:rPr>
              <w:t>通</w:t>
            </w:r>
            <w:r w:rsidRPr="009C15F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E23D87" w:rsidRPr="009C15F7" w:rsidTr="00D7109E">
        <w:tc>
          <w:tcPr>
            <w:tcW w:w="9126" w:type="dxa"/>
            <w:shd w:val="clear" w:color="auto" w:fill="auto"/>
          </w:tcPr>
          <w:p w:rsidR="00E23D87" w:rsidRPr="009C15F7" w:rsidRDefault="00E23D87" w:rsidP="00E23D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年1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月0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</w:rPr>
              <w:t>日校教評會通過</w:t>
            </w:r>
          </w:p>
        </w:tc>
      </w:tr>
      <w:tr w:rsidR="00E23D87" w:rsidRPr="009C15F7" w:rsidTr="00D7109E">
        <w:tc>
          <w:tcPr>
            <w:tcW w:w="9126" w:type="dxa"/>
            <w:shd w:val="clear" w:color="auto" w:fill="auto"/>
          </w:tcPr>
          <w:p w:rsidR="00E23D87" w:rsidRDefault="00E23D87" w:rsidP="00D710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23D87" w:rsidRDefault="00E23D87" w:rsidP="00E23D87">
      <w:pPr>
        <w:numPr>
          <w:ilvl w:val="0"/>
          <w:numId w:val="1"/>
        </w:numPr>
        <w:spacing w:line="400" w:lineRule="exact"/>
        <w:ind w:rightChars="412" w:right="989" w:hanging="54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本委員會為辦理教師評鑑事宜，特依本校教師評鑑辦法第五</w:t>
      </w:r>
    </w:p>
    <w:p w:rsidR="00E23D87" w:rsidRPr="0089419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條之規定</w:t>
      </w:r>
      <w:r w:rsidRPr="00894197">
        <w:rPr>
          <w:rFonts w:ascii="標楷體" w:eastAsia="標楷體" w:hAnsi="標楷體"/>
        </w:rPr>
        <w:t>訂定本</w:t>
      </w:r>
      <w:r w:rsidRPr="00894197">
        <w:rPr>
          <w:rFonts w:ascii="標楷體" w:eastAsia="標楷體" w:hAnsi="標楷體" w:hint="eastAsia"/>
        </w:rPr>
        <w:t>準則</w:t>
      </w:r>
      <w:r w:rsidRPr="00894197">
        <w:rPr>
          <w:rFonts w:ascii="標楷體" w:eastAsia="標楷體" w:hAnsi="標楷體"/>
        </w:rPr>
        <w:t>。</w:t>
      </w:r>
    </w:p>
    <w:p w:rsidR="00E23D87" w:rsidRDefault="00E23D87" w:rsidP="002141D9">
      <w:pPr>
        <w:numPr>
          <w:ilvl w:val="0"/>
          <w:numId w:val="1"/>
        </w:numPr>
        <w:spacing w:line="400" w:lineRule="exact"/>
        <w:ind w:left="426" w:rightChars="412" w:right="989" w:hanging="54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本委員會專任教師每滿四年須接受評鑑一次，評鑑未通過者，</w:t>
      </w:r>
    </w:p>
    <w:p w:rsidR="00E23D87" w:rsidRPr="00E23D87" w:rsidRDefault="00E23D87" w:rsidP="00E23D87">
      <w:pPr>
        <w:spacing w:line="400" w:lineRule="exact"/>
        <w:ind w:left="426" w:rightChars="412" w:right="989" w:firstLineChars="236" w:firstLine="566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悉依本校教師評鑑辦法規定辦理。</w:t>
      </w:r>
    </w:p>
    <w:p w:rsidR="00E23D87" w:rsidRDefault="00E23D87" w:rsidP="00E23D87">
      <w:pPr>
        <w:pStyle w:val="a3"/>
        <w:numPr>
          <w:ilvl w:val="0"/>
          <w:numId w:val="1"/>
        </w:numPr>
        <w:spacing w:line="400" w:lineRule="exact"/>
        <w:ind w:leftChars="0" w:rightChars="412" w:right="989" w:hanging="54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本委員會</w:t>
      </w:r>
      <w:r w:rsidRPr="00E23D87">
        <w:rPr>
          <w:rFonts w:ascii="標楷體" w:eastAsia="標楷體" w:hAnsi="標楷體"/>
        </w:rPr>
        <w:t>教師之評鑑績效項目含</w:t>
      </w:r>
      <w:r w:rsidRPr="00E23D87">
        <w:rPr>
          <w:rFonts w:ascii="標楷體" w:eastAsia="標楷體" w:hAnsi="標楷體" w:hint="eastAsia"/>
        </w:rPr>
        <w:t>「</w:t>
      </w:r>
      <w:r w:rsidRPr="00E23D87">
        <w:rPr>
          <w:rFonts w:ascii="標楷體" w:eastAsia="標楷體" w:hAnsi="標楷體"/>
        </w:rPr>
        <w:t>教學</w:t>
      </w:r>
      <w:r w:rsidRPr="00E23D87">
        <w:rPr>
          <w:rFonts w:ascii="標楷體" w:eastAsia="標楷體" w:hAnsi="標楷體" w:hint="eastAsia"/>
        </w:rPr>
        <w:t>」</w:t>
      </w:r>
      <w:r w:rsidRPr="00E23D87">
        <w:rPr>
          <w:rFonts w:ascii="標楷體" w:eastAsia="標楷體" w:hAnsi="標楷體"/>
        </w:rPr>
        <w:t>、</w:t>
      </w:r>
      <w:r w:rsidRPr="00E23D87">
        <w:rPr>
          <w:rFonts w:ascii="標楷體" w:eastAsia="標楷體" w:hAnsi="標楷體" w:hint="eastAsia"/>
        </w:rPr>
        <w:t>「</w:t>
      </w:r>
      <w:r w:rsidRPr="00E23D87">
        <w:rPr>
          <w:rFonts w:ascii="標楷體" w:eastAsia="標楷體" w:hAnsi="標楷體"/>
        </w:rPr>
        <w:t>研究</w:t>
      </w:r>
      <w:r w:rsidRPr="00E23D87">
        <w:rPr>
          <w:rFonts w:ascii="標楷體" w:eastAsia="標楷體" w:hAnsi="標楷體" w:hint="eastAsia"/>
        </w:rPr>
        <w:t>及產學合作」、</w:t>
      </w:r>
    </w:p>
    <w:p w:rsidR="00E23D87" w:rsidRDefault="00E23D87" w:rsidP="00E23D87">
      <w:pPr>
        <w:pStyle w:val="a3"/>
        <w:spacing w:line="400" w:lineRule="exact"/>
        <w:ind w:leftChars="0" w:rightChars="412" w:right="989" w:firstLineChars="154" w:firstLine="370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「</w:t>
      </w:r>
      <w:r w:rsidRPr="00E23D87">
        <w:rPr>
          <w:rFonts w:ascii="標楷體" w:eastAsia="標楷體" w:hAnsi="標楷體"/>
        </w:rPr>
        <w:t>輔導及服務</w:t>
      </w:r>
      <w:r w:rsidRPr="00E23D87">
        <w:rPr>
          <w:rFonts w:ascii="標楷體" w:eastAsia="標楷體" w:hAnsi="標楷體" w:hint="eastAsia"/>
        </w:rPr>
        <w:t>」三項，各項以100分為滿分，三項績效評鑑均</w:t>
      </w:r>
    </w:p>
    <w:p w:rsidR="00E23D87" w:rsidRDefault="00E23D87" w:rsidP="00E23D87">
      <w:pPr>
        <w:pStyle w:val="a3"/>
        <w:spacing w:line="400" w:lineRule="exact"/>
        <w:ind w:leftChars="0" w:rightChars="412" w:right="989" w:firstLineChars="254" w:firstLine="610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需達70分(含)以上，始為通過，配分權重由受評教師自行調</w:t>
      </w:r>
    </w:p>
    <w:p w:rsidR="00E23D87" w:rsidRDefault="00E23D87" w:rsidP="00E23D87">
      <w:pPr>
        <w:pStyle w:val="a3"/>
        <w:spacing w:line="400" w:lineRule="exact"/>
        <w:ind w:leftChars="0" w:rightChars="412" w:right="989" w:firstLineChars="254" w:firstLine="610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配分數：「教學」40-60%、「</w:t>
      </w:r>
      <w:r w:rsidRPr="00E23D87">
        <w:rPr>
          <w:rFonts w:ascii="標楷體" w:eastAsia="標楷體" w:hAnsi="標楷體"/>
        </w:rPr>
        <w:t>研究</w:t>
      </w:r>
      <w:r w:rsidRPr="00E23D87">
        <w:rPr>
          <w:rFonts w:ascii="標楷體" w:eastAsia="標楷體" w:hAnsi="標楷體" w:hint="eastAsia"/>
        </w:rPr>
        <w:t>及產學合作」及「</w:t>
      </w:r>
      <w:r w:rsidRPr="00E23D87">
        <w:rPr>
          <w:rFonts w:ascii="標楷體" w:eastAsia="標楷體" w:hAnsi="標楷體"/>
        </w:rPr>
        <w:t>輔導及服</w:t>
      </w:r>
    </w:p>
    <w:p w:rsidR="00E23D87" w:rsidRPr="00E23D87" w:rsidRDefault="00E23D87" w:rsidP="00E23D87">
      <w:pPr>
        <w:pStyle w:val="a3"/>
        <w:spacing w:line="400" w:lineRule="exact"/>
        <w:ind w:leftChars="0" w:rightChars="412" w:right="989" w:firstLineChars="254" w:firstLine="610"/>
        <w:jc w:val="both"/>
        <w:rPr>
          <w:rFonts w:ascii="標楷體" w:eastAsia="標楷體" w:hAnsi="標楷體"/>
        </w:rPr>
      </w:pPr>
      <w:proofErr w:type="gramStart"/>
      <w:r w:rsidRPr="00E23D87">
        <w:rPr>
          <w:rFonts w:ascii="標楷體" w:eastAsia="標楷體" w:hAnsi="標楷體"/>
        </w:rPr>
        <w:t>務</w:t>
      </w:r>
      <w:proofErr w:type="gramEnd"/>
      <w:r w:rsidRPr="00E23D87">
        <w:rPr>
          <w:rFonts w:ascii="標楷體" w:eastAsia="標楷體" w:hAnsi="標楷體" w:hint="eastAsia"/>
        </w:rPr>
        <w:t>」各不低於15%。</w:t>
      </w:r>
    </w:p>
    <w:p w:rsidR="00E23D87" w:rsidRPr="00E23D87" w:rsidRDefault="00E23D87" w:rsidP="00E23D87">
      <w:pPr>
        <w:pStyle w:val="a3"/>
        <w:numPr>
          <w:ilvl w:val="0"/>
          <w:numId w:val="1"/>
        </w:numPr>
        <w:spacing w:line="400" w:lineRule="exact"/>
        <w:ind w:leftChars="0" w:rightChars="412" w:right="989" w:hanging="54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本委員會每學年度教師評鑑受理截止日為10月15日，截止</w:t>
      </w:r>
    </w:p>
    <w:p w:rsidR="00E23D87" w:rsidRPr="00E23D87" w:rsidRDefault="00E23D87" w:rsidP="00E23D87">
      <w:pPr>
        <w:spacing w:line="400" w:lineRule="exact"/>
        <w:ind w:left="709" w:rightChars="412" w:right="989" w:firstLineChars="118" w:firstLine="283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日為例假日時，得順延至次一工作日。</w:t>
      </w:r>
    </w:p>
    <w:p w:rsidR="00E23D87" w:rsidRDefault="00E23D87" w:rsidP="00E23D87">
      <w:pPr>
        <w:pStyle w:val="a3"/>
        <w:numPr>
          <w:ilvl w:val="0"/>
          <w:numId w:val="1"/>
        </w:numPr>
        <w:spacing w:line="400" w:lineRule="exact"/>
        <w:ind w:leftChars="0" w:rightChars="412" w:right="989" w:hanging="54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/>
        </w:rPr>
        <w:t>受評教師須提出相關資料接受審查</w:t>
      </w:r>
      <w:r w:rsidRPr="00E23D87">
        <w:rPr>
          <w:rFonts w:ascii="標楷體" w:eastAsia="標楷體" w:hAnsi="標楷體" w:hint="eastAsia"/>
        </w:rPr>
        <w:t>，</w:t>
      </w:r>
      <w:r w:rsidRPr="00E23D87">
        <w:rPr>
          <w:rFonts w:ascii="標楷體" w:eastAsia="標楷體" w:hAnsi="標楷體"/>
        </w:rPr>
        <w:t>未提出者，以該</w:t>
      </w:r>
      <w:r w:rsidRPr="00E23D87">
        <w:rPr>
          <w:rFonts w:ascii="標楷體" w:eastAsia="標楷體" w:hAnsi="標楷體" w:hint="eastAsia"/>
        </w:rPr>
        <w:t>學</w:t>
      </w:r>
      <w:r w:rsidRPr="00E23D87">
        <w:rPr>
          <w:rFonts w:ascii="標楷體" w:eastAsia="標楷體" w:hAnsi="標楷體"/>
        </w:rPr>
        <w:t>年度未</w:t>
      </w:r>
    </w:p>
    <w:p w:rsidR="00E23D87" w:rsidRDefault="00E23D87" w:rsidP="00E23D87">
      <w:pPr>
        <w:pStyle w:val="a3"/>
        <w:spacing w:line="400" w:lineRule="exact"/>
        <w:ind w:leftChars="0" w:rightChars="412" w:right="989" w:firstLineChars="213" w:firstLine="511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/>
        </w:rPr>
        <w:t>通過評鑑論。但</w:t>
      </w:r>
      <w:r w:rsidRPr="00E23D87">
        <w:rPr>
          <w:rFonts w:ascii="標楷體" w:eastAsia="標楷體" w:hAnsi="標楷體" w:hint="eastAsia"/>
        </w:rPr>
        <w:t>該學</w:t>
      </w:r>
      <w:r w:rsidRPr="00E23D87">
        <w:rPr>
          <w:rFonts w:ascii="標楷體" w:eastAsia="標楷體" w:hAnsi="標楷體"/>
        </w:rPr>
        <w:t>年度有留職停薪、借調、國</w:t>
      </w:r>
      <w:r w:rsidRPr="00E23D87">
        <w:rPr>
          <w:rFonts w:ascii="標楷體" w:eastAsia="標楷體" w:hAnsi="標楷體" w:hint="eastAsia"/>
        </w:rPr>
        <w:t>外</w:t>
      </w:r>
      <w:r w:rsidRPr="00E23D87">
        <w:rPr>
          <w:rFonts w:ascii="標楷體" w:eastAsia="標楷體" w:hAnsi="標楷體"/>
        </w:rPr>
        <w:t>進修</w:t>
      </w:r>
      <w:r w:rsidRPr="00E23D87">
        <w:rPr>
          <w:rFonts w:ascii="標楷體" w:eastAsia="標楷體" w:hAnsi="標楷體" w:hint="eastAsia"/>
        </w:rPr>
        <w:t>、</w:t>
      </w:r>
      <w:r w:rsidRPr="00E23D87">
        <w:rPr>
          <w:rFonts w:ascii="標楷體" w:eastAsia="標楷體" w:hAnsi="標楷體"/>
        </w:rPr>
        <w:t>休假</w:t>
      </w:r>
    </w:p>
    <w:p w:rsidR="00E23D87" w:rsidRDefault="00E23D87" w:rsidP="00E23D87">
      <w:pPr>
        <w:pStyle w:val="a3"/>
        <w:spacing w:line="400" w:lineRule="exact"/>
        <w:ind w:leftChars="0" w:rightChars="412" w:right="989" w:firstLineChars="213" w:firstLine="511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/>
        </w:rPr>
        <w:t>研究</w:t>
      </w:r>
      <w:r w:rsidRPr="00E23D87">
        <w:rPr>
          <w:rFonts w:ascii="標楷體" w:eastAsia="標楷體" w:hAnsi="標楷體" w:hint="eastAsia"/>
        </w:rPr>
        <w:t>，懷孕、分娩或流產，或遭受重大變故等原因，</w:t>
      </w:r>
      <w:r w:rsidRPr="00E23D87">
        <w:rPr>
          <w:rFonts w:ascii="標楷體" w:eastAsia="標楷體" w:hAnsi="標楷體"/>
        </w:rPr>
        <w:t>以</w:t>
      </w:r>
      <w:r w:rsidRPr="00E23D87">
        <w:rPr>
          <w:rFonts w:ascii="標楷體" w:eastAsia="標楷體" w:hAnsi="標楷體" w:hint="eastAsia"/>
        </w:rPr>
        <w:t>致未能</w:t>
      </w:r>
    </w:p>
    <w:p w:rsidR="00E23D87" w:rsidRPr="00E23D87" w:rsidRDefault="00E23D87" w:rsidP="00E23D87">
      <w:pPr>
        <w:pStyle w:val="a3"/>
        <w:spacing w:line="400" w:lineRule="exact"/>
        <w:ind w:leftChars="0" w:rightChars="412" w:right="989" w:firstLineChars="213" w:firstLine="511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提出者，</w:t>
      </w:r>
      <w:proofErr w:type="gramStart"/>
      <w:r w:rsidRPr="00E23D87">
        <w:rPr>
          <w:rFonts w:ascii="標楷體" w:eastAsia="標楷體" w:hAnsi="標楷體" w:hint="eastAsia"/>
        </w:rPr>
        <w:t>俟</w:t>
      </w:r>
      <w:proofErr w:type="gramEnd"/>
      <w:r w:rsidRPr="00E23D87">
        <w:rPr>
          <w:rFonts w:ascii="標楷體" w:eastAsia="標楷體" w:hAnsi="標楷體" w:hint="eastAsia"/>
        </w:rPr>
        <w:t>返校服務後依本校評鑑辦法第十一條規定</w:t>
      </w:r>
      <w:r w:rsidRPr="00E23D87">
        <w:rPr>
          <w:rFonts w:ascii="標楷體" w:eastAsia="標楷體" w:hAnsi="標楷體"/>
        </w:rPr>
        <w:t>辦理。</w:t>
      </w:r>
    </w:p>
    <w:p w:rsidR="00E23D87" w:rsidRDefault="00E23D87" w:rsidP="00E23D87">
      <w:pPr>
        <w:numPr>
          <w:ilvl w:val="0"/>
          <w:numId w:val="1"/>
        </w:numPr>
        <w:spacing w:line="400" w:lineRule="exact"/>
        <w:ind w:rightChars="412" w:right="989" w:hanging="54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/>
        </w:rPr>
        <w:t>受評教師所提</w:t>
      </w:r>
      <w:r w:rsidRPr="00894197">
        <w:rPr>
          <w:rFonts w:ascii="標楷體" w:eastAsia="標楷體" w:hAnsi="標楷體" w:hint="eastAsia"/>
        </w:rPr>
        <w:t>評鑑相關資料之</w:t>
      </w:r>
      <w:proofErr w:type="gramStart"/>
      <w:r w:rsidRPr="00894197">
        <w:rPr>
          <w:rFonts w:ascii="標楷體" w:eastAsia="標楷體" w:hAnsi="標楷體" w:hint="eastAsia"/>
        </w:rPr>
        <w:t>採</w:t>
      </w:r>
      <w:proofErr w:type="gramEnd"/>
      <w:r w:rsidRPr="00894197">
        <w:rPr>
          <w:rFonts w:ascii="標楷體" w:eastAsia="標楷體" w:hAnsi="標楷體" w:hint="eastAsia"/>
        </w:rPr>
        <w:t>計以</w:t>
      </w:r>
      <w:proofErr w:type="gramStart"/>
      <w:r w:rsidRPr="00894197">
        <w:rPr>
          <w:rFonts w:ascii="標楷體" w:eastAsia="標楷體" w:hAnsi="標楷體" w:hint="eastAsia"/>
        </w:rPr>
        <w:t>受評當學期</w:t>
      </w:r>
      <w:proofErr w:type="gramEnd"/>
      <w:r w:rsidRPr="00894197">
        <w:rPr>
          <w:rFonts w:ascii="標楷體" w:eastAsia="標楷體" w:hAnsi="標楷體" w:hint="eastAsia"/>
        </w:rPr>
        <w:t>之前四年內</w:t>
      </w:r>
    </w:p>
    <w:p w:rsidR="00E23D87" w:rsidRPr="0089419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為</w:t>
      </w:r>
      <w:proofErr w:type="gramStart"/>
      <w:r w:rsidRPr="00894197">
        <w:rPr>
          <w:rFonts w:ascii="標楷體" w:eastAsia="標楷體" w:hAnsi="標楷體" w:hint="eastAsia"/>
        </w:rPr>
        <w:t>準</w:t>
      </w:r>
      <w:proofErr w:type="gramEnd"/>
      <w:r w:rsidRPr="00894197">
        <w:rPr>
          <w:rFonts w:ascii="標楷體" w:eastAsia="標楷體" w:hAnsi="標楷體" w:hint="eastAsia"/>
        </w:rPr>
        <w:t>。</w:t>
      </w:r>
    </w:p>
    <w:p w:rsidR="00E23D87" w:rsidRDefault="00E23D87" w:rsidP="00E23D87">
      <w:pPr>
        <w:numPr>
          <w:ilvl w:val="0"/>
          <w:numId w:val="1"/>
        </w:numPr>
        <w:spacing w:line="400" w:lineRule="exact"/>
        <w:ind w:rightChars="412" w:right="989" w:hanging="54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本委員會教師評鑑各項目評分標準如附表，由受評教師先行</w:t>
      </w:r>
    </w:p>
    <w:p w:rsidR="00E23D8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自評，並經所屬系所（中心）教評會檢</w:t>
      </w:r>
      <w:proofErr w:type="gramStart"/>
      <w:r w:rsidRPr="00894197">
        <w:rPr>
          <w:rFonts w:ascii="標楷體" w:eastAsia="標楷體" w:hAnsi="標楷體" w:hint="eastAsia"/>
        </w:rPr>
        <w:t>覈</w:t>
      </w:r>
      <w:proofErr w:type="gramEnd"/>
      <w:r w:rsidRPr="00894197">
        <w:rPr>
          <w:rFonts w:ascii="標楷體" w:eastAsia="標楷體" w:hAnsi="標楷體" w:hint="eastAsia"/>
        </w:rPr>
        <w:t>通過後，再送本委員</w:t>
      </w:r>
    </w:p>
    <w:p w:rsidR="00E23D8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會教師評審委員會辦理初評。審查時得邀請受評教師列席說</w:t>
      </w:r>
    </w:p>
    <w:p w:rsidR="00E23D87" w:rsidRPr="0089419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明，初評通過者始送本校教師評審委員會進行</w:t>
      </w:r>
      <w:proofErr w:type="gramStart"/>
      <w:r w:rsidRPr="00894197">
        <w:rPr>
          <w:rFonts w:ascii="標楷體" w:eastAsia="標楷體" w:hAnsi="標楷體" w:hint="eastAsia"/>
        </w:rPr>
        <w:t>複</w:t>
      </w:r>
      <w:proofErr w:type="gramEnd"/>
      <w:r w:rsidRPr="00894197">
        <w:rPr>
          <w:rFonts w:ascii="標楷體" w:eastAsia="標楷體" w:hAnsi="標楷體" w:hint="eastAsia"/>
        </w:rPr>
        <w:t>評。</w:t>
      </w:r>
    </w:p>
    <w:p w:rsidR="00E23D87" w:rsidRPr="00E23D87" w:rsidRDefault="00E23D87" w:rsidP="00E23D87">
      <w:pPr>
        <w:spacing w:line="400" w:lineRule="exact"/>
        <w:ind w:left="936" w:rightChars="412" w:right="989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 w:hint="eastAsia"/>
        </w:rPr>
        <w:t>初評各項評分應以事實認定計分，遇有評審委員間評分認定不一之情形時，得</w:t>
      </w:r>
      <w:proofErr w:type="gramStart"/>
      <w:r w:rsidRPr="00E23D87">
        <w:rPr>
          <w:rFonts w:ascii="標楷體" w:eastAsia="標楷體" w:hAnsi="標楷體" w:hint="eastAsia"/>
        </w:rPr>
        <w:t>採</w:t>
      </w:r>
      <w:proofErr w:type="gramEnd"/>
      <w:r w:rsidRPr="00E23D87">
        <w:rPr>
          <w:rFonts w:ascii="標楷體" w:eastAsia="標楷體" w:hAnsi="標楷體" w:hint="eastAsia"/>
        </w:rPr>
        <w:t>無記名評分平均之。但任一委員認定有未能通過評鑑門檻之事實時，應明列審查意見  送本校教師評審委員會審議。</w:t>
      </w:r>
    </w:p>
    <w:p w:rsidR="00E23D87" w:rsidRDefault="00E23D87" w:rsidP="00E23D87">
      <w:pPr>
        <w:numPr>
          <w:ilvl w:val="0"/>
          <w:numId w:val="1"/>
        </w:numPr>
        <w:spacing w:line="400" w:lineRule="exact"/>
        <w:ind w:rightChars="412" w:right="989" w:hanging="54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本委員會教師評審委員會為避免</w:t>
      </w:r>
      <w:proofErr w:type="gramStart"/>
      <w:r w:rsidRPr="00894197">
        <w:rPr>
          <w:rFonts w:ascii="標楷體" w:eastAsia="標楷體" w:hAnsi="標楷體" w:hint="eastAsia"/>
        </w:rPr>
        <w:t>低階高審</w:t>
      </w:r>
      <w:proofErr w:type="gramEnd"/>
      <w:r w:rsidRPr="00894197">
        <w:rPr>
          <w:rFonts w:ascii="標楷體" w:eastAsia="標楷體" w:hAnsi="標楷體" w:hint="eastAsia"/>
        </w:rPr>
        <w:t>，得視需要延聘校</w:t>
      </w:r>
    </w:p>
    <w:p w:rsidR="00E23D87" w:rsidRDefault="00E23D87" w:rsidP="00E23D87">
      <w:pPr>
        <w:spacing w:line="400" w:lineRule="exact"/>
        <w:ind w:left="480" w:rightChars="412" w:right="989" w:firstLineChars="200" w:firstLine="480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內外相關學術領域之教授若干人與本學院教評會推薦之委員，</w:t>
      </w:r>
    </w:p>
    <w:p w:rsidR="00E23D87" w:rsidRDefault="00E23D87" w:rsidP="00E23D87">
      <w:pPr>
        <w:spacing w:line="400" w:lineRule="exact"/>
        <w:ind w:left="480" w:rightChars="412" w:right="989" w:firstLineChars="200" w:firstLine="480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組成教師評鑑審議小組至少三人，並將審議結果依序送院、校</w:t>
      </w:r>
    </w:p>
    <w:p w:rsidR="00E23D87" w:rsidRPr="00894197" w:rsidRDefault="00E23D87" w:rsidP="00E23D87">
      <w:pPr>
        <w:spacing w:line="400" w:lineRule="exact"/>
        <w:ind w:left="480" w:rightChars="412" w:right="989" w:firstLineChars="200" w:firstLine="480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 w:hint="eastAsia"/>
        </w:rPr>
        <w:t>教評會審議。</w:t>
      </w:r>
    </w:p>
    <w:p w:rsidR="00E23D87" w:rsidRPr="00E23D87" w:rsidRDefault="00E23D87" w:rsidP="00E23D87">
      <w:pPr>
        <w:pStyle w:val="a3"/>
        <w:numPr>
          <w:ilvl w:val="0"/>
          <w:numId w:val="1"/>
        </w:numPr>
        <w:spacing w:line="400" w:lineRule="exact"/>
        <w:ind w:leftChars="0" w:rightChars="412" w:right="989" w:hanging="54"/>
        <w:jc w:val="both"/>
        <w:rPr>
          <w:rFonts w:ascii="標楷體" w:eastAsia="標楷體" w:hAnsi="標楷體"/>
        </w:rPr>
      </w:pPr>
      <w:r w:rsidRPr="00E23D87">
        <w:rPr>
          <w:rFonts w:ascii="標楷體" w:eastAsia="標楷體" w:hAnsi="標楷體"/>
        </w:rPr>
        <w:t>本</w:t>
      </w:r>
      <w:r w:rsidRPr="00E23D87">
        <w:rPr>
          <w:rFonts w:ascii="標楷體" w:eastAsia="標楷體" w:hAnsi="標楷體" w:hint="eastAsia"/>
        </w:rPr>
        <w:t>準則</w:t>
      </w:r>
      <w:r w:rsidRPr="00E23D87">
        <w:rPr>
          <w:rFonts w:ascii="標楷體" w:eastAsia="標楷體" w:hAnsi="標楷體"/>
        </w:rPr>
        <w:t>未盡事宜，悉依</w:t>
      </w:r>
      <w:r w:rsidRPr="00E23D87">
        <w:rPr>
          <w:rFonts w:ascii="標楷體" w:eastAsia="標楷體" w:hAnsi="標楷體" w:hint="eastAsia"/>
        </w:rPr>
        <w:t>本校教師評鑑辦法及</w:t>
      </w:r>
      <w:r w:rsidRPr="00E23D87">
        <w:rPr>
          <w:rFonts w:ascii="標楷體" w:eastAsia="標楷體" w:hAnsi="標楷體"/>
        </w:rPr>
        <w:t>相關法規</w:t>
      </w:r>
      <w:r w:rsidRPr="00E23D87">
        <w:rPr>
          <w:rFonts w:ascii="標楷體" w:eastAsia="標楷體" w:hAnsi="標楷體" w:hint="eastAsia"/>
        </w:rPr>
        <w:t>辦理</w:t>
      </w:r>
      <w:r w:rsidRPr="00E23D87">
        <w:rPr>
          <w:rFonts w:ascii="標楷體" w:eastAsia="標楷體" w:hAnsi="標楷體"/>
        </w:rPr>
        <w:t>。</w:t>
      </w:r>
    </w:p>
    <w:p w:rsidR="00E23D87" w:rsidRDefault="00E23D87" w:rsidP="00E23D87">
      <w:pPr>
        <w:numPr>
          <w:ilvl w:val="0"/>
          <w:numId w:val="1"/>
        </w:numPr>
        <w:spacing w:line="400" w:lineRule="exact"/>
        <w:ind w:rightChars="412" w:right="989" w:hanging="54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/>
        </w:rPr>
        <w:t>本</w:t>
      </w:r>
      <w:r w:rsidRPr="00894197">
        <w:rPr>
          <w:rFonts w:ascii="標楷體" w:eastAsia="標楷體" w:hAnsi="標楷體" w:hint="eastAsia"/>
        </w:rPr>
        <w:t>準則</w:t>
      </w:r>
      <w:r w:rsidRPr="00894197">
        <w:rPr>
          <w:rFonts w:ascii="標楷體" w:eastAsia="標楷體" w:hAnsi="標楷體"/>
        </w:rPr>
        <w:t>經</w:t>
      </w:r>
      <w:r w:rsidRPr="00894197">
        <w:rPr>
          <w:rFonts w:ascii="標楷體" w:eastAsia="標楷體" w:hAnsi="標楷體" w:hint="eastAsia"/>
        </w:rPr>
        <w:t>共同教育委員會院</w:t>
      </w:r>
      <w:proofErr w:type="gramStart"/>
      <w:r w:rsidRPr="00894197">
        <w:rPr>
          <w:rFonts w:ascii="標楷體" w:eastAsia="標楷體" w:hAnsi="標楷體" w:hint="eastAsia"/>
        </w:rPr>
        <w:t>務</w:t>
      </w:r>
      <w:proofErr w:type="gramEnd"/>
      <w:r w:rsidRPr="00894197">
        <w:rPr>
          <w:rFonts w:ascii="標楷體" w:eastAsia="標楷體" w:hAnsi="標楷體" w:hint="eastAsia"/>
        </w:rPr>
        <w:t>會議、</w:t>
      </w:r>
      <w:r w:rsidRPr="00894197">
        <w:rPr>
          <w:rFonts w:ascii="標楷體" w:eastAsia="標楷體" w:hAnsi="標楷體"/>
        </w:rPr>
        <w:t>校</w:t>
      </w:r>
      <w:r w:rsidRPr="00894197">
        <w:rPr>
          <w:rFonts w:ascii="標楷體" w:eastAsia="標楷體" w:hAnsi="標楷體" w:hint="eastAsia"/>
        </w:rPr>
        <w:t>教評</w:t>
      </w:r>
      <w:r w:rsidRPr="00894197">
        <w:rPr>
          <w:rFonts w:ascii="標楷體" w:eastAsia="標楷體" w:hAnsi="標楷體"/>
        </w:rPr>
        <w:t>會議通過後施行，</w:t>
      </w:r>
    </w:p>
    <w:p w:rsidR="00E23D87" w:rsidRPr="00894197" w:rsidRDefault="00E23D87" w:rsidP="00E23D87">
      <w:pPr>
        <w:spacing w:line="400" w:lineRule="exact"/>
        <w:ind w:left="480" w:rightChars="412" w:right="989" w:firstLineChars="213" w:firstLine="511"/>
        <w:jc w:val="both"/>
        <w:rPr>
          <w:rFonts w:ascii="標楷體" w:eastAsia="標楷體" w:hAnsi="標楷體"/>
        </w:rPr>
      </w:pPr>
      <w:r w:rsidRPr="00894197">
        <w:rPr>
          <w:rFonts w:ascii="標楷體" w:eastAsia="標楷體" w:hAnsi="標楷體"/>
        </w:rPr>
        <w:t>修正時亦同。</w:t>
      </w:r>
    </w:p>
    <w:p w:rsidR="00E23D87" w:rsidRDefault="00E23D87" w:rsidP="00E23D87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E23D87" w:rsidRPr="00E23D87" w:rsidRDefault="00E23D87" w:rsidP="00E23D8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Pr="00E23D87">
        <w:rPr>
          <w:rFonts w:ascii="標楷體" w:eastAsia="標楷體" w:hAnsi="標楷體" w:hint="eastAsia"/>
          <w:b/>
          <w:sz w:val="32"/>
          <w:szCs w:val="32"/>
        </w:rPr>
        <w:lastRenderedPageBreak/>
        <w:t>國立澎湖科技大學共同教育委員會教師評鑑評分表</w:t>
      </w:r>
    </w:p>
    <w:p w:rsidR="00E23D87" w:rsidRPr="004A3800" w:rsidRDefault="00E23D87" w:rsidP="00E23D87">
      <w:pPr>
        <w:pStyle w:val="1"/>
        <w:spacing w:line="220" w:lineRule="exact"/>
        <w:ind w:leftChars="295" w:left="708"/>
        <w:rPr>
          <w:rFonts w:ascii="標楷體" w:hAnsi="標楷體"/>
          <w:b/>
          <w:sz w:val="36"/>
        </w:rPr>
      </w:pPr>
    </w:p>
    <w:p w:rsidR="00E23D87" w:rsidRPr="004A3800" w:rsidRDefault="00E23D87" w:rsidP="00E23D87">
      <w:pPr>
        <w:tabs>
          <w:tab w:val="left" w:pos="3600"/>
          <w:tab w:val="left" w:pos="7200"/>
        </w:tabs>
        <w:spacing w:after="190"/>
        <w:ind w:leftChars="295" w:left="708"/>
        <w:jc w:val="both"/>
        <w:rPr>
          <w:rFonts w:ascii="標楷體" w:eastAsia="標楷體" w:hAnsi="標楷體"/>
        </w:rPr>
      </w:pPr>
      <w:r w:rsidRPr="004A3800">
        <w:rPr>
          <w:rFonts w:ascii="標楷體" w:eastAsia="標楷體" w:hAnsi="標楷體" w:hint="eastAsia"/>
        </w:rPr>
        <w:t>教師姓名：</w:t>
      </w:r>
      <w:r w:rsidRPr="004A3800">
        <w:rPr>
          <w:rFonts w:ascii="標楷體" w:eastAsia="標楷體" w:hAnsi="標楷體" w:hint="eastAsia"/>
          <w:u w:val="single"/>
        </w:rPr>
        <w:t xml:space="preserve">            </w:t>
      </w:r>
      <w:r w:rsidRPr="004A3800">
        <w:rPr>
          <w:rFonts w:ascii="標楷體" w:eastAsia="標楷體" w:hAnsi="標楷體" w:hint="eastAsia"/>
        </w:rPr>
        <w:t xml:space="preserve">      任職單位：</w:t>
      </w:r>
      <w:r w:rsidRPr="004A3800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 </w:t>
      </w:r>
      <w:r w:rsidRPr="004A3800">
        <w:rPr>
          <w:rFonts w:ascii="標楷體" w:eastAsia="標楷體" w:hAnsi="標楷體" w:hint="eastAsia"/>
        </w:rPr>
        <w:t>級別：</w:t>
      </w:r>
      <w:r w:rsidRPr="004A3800">
        <w:rPr>
          <w:rFonts w:ascii="標楷體" w:eastAsia="標楷體" w:hAnsi="標楷體" w:hint="eastAsia"/>
          <w:u w:val="single"/>
        </w:rPr>
        <w:t xml:space="preserve">             </w:t>
      </w:r>
    </w:p>
    <w:p w:rsidR="00E23D87" w:rsidRPr="004A3800" w:rsidRDefault="00E23D87" w:rsidP="00E23D87">
      <w:pPr>
        <w:tabs>
          <w:tab w:val="right" w:pos="9120"/>
        </w:tabs>
        <w:spacing w:before="190" w:after="190"/>
        <w:ind w:leftChars="295" w:left="708"/>
        <w:jc w:val="both"/>
        <w:rPr>
          <w:rFonts w:ascii="標楷體" w:eastAsia="標楷體" w:hAnsi="標楷體"/>
        </w:rPr>
      </w:pPr>
      <w:r w:rsidRPr="004A3800">
        <w:rPr>
          <w:rFonts w:ascii="標楷體" w:eastAsia="標楷體" w:hAnsi="標楷體" w:hint="eastAsia"/>
        </w:rPr>
        <w:t>服務年資：</w:t>
      </w:r>
      <w:r w:rsidRPr="004A3800">
        <w:rPr>
          <w:rFonts w:ascii="標楷體" w:eastAsia="標楷體" w:hAnsi="標楷體" w:hint="eastAsia"/>
          <w:u w:val="single"/>
        </w:rPr>
        <w:t xml:space="preserve">　     </w:t>
      </w:r>
      <w:r>
        <w:rPr>
          <w:rFonts w:ascii="標楷體" w:eastAsia="標楷體" w:hAnsi="標楷體"/>
          <w:u w:val="single"/>
        </w:rPr>
        <w:t xml:space="preserve">     </w:t>
      </w:r>
      <w:r w:rsidRPr="004A380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4A3800">
        <w:rPr>
          <w:rFonts w:ascii="標楷體" w:eastAsia="標楷體" w:hAnsi="標楷體" w:hint="eastAsia"/>
        </w:rPr>
        <w:t>評鑑日期：民國</w:t>
      </w:r>
      <w:r w:rsidRPr="004A3800">
        <w:rPr>
          <w:rFonts w:ascii="標楷體" w:eastAsia="標楷體" w:hAnsi="標楷體" w:hint="eastAsia"/>
          <w:u w:val="single"/>
        </w:rPr>
        <w:t xml:space="preserve">　   </w:t>
      </w:r>
      <w:r w:rsidRPr="004A3800">
        <w:rPr>
          <w:rFonts w:ascii="標楷體" w:eastAsia="標楷體" w:hAnsi="標楷體" w:hint="eastAsia"/>
        </w:rPr>
        <w:t>年</w:t>
      </w:r>
      <w:r w:rsidRPr="004A3800">
        <w:rPr>
          <w:rFonts w:ascii="標楷體" w:eastAsia="標楷體" w:hAnsi="標楷體" w:hint="eastAsia"/>
          <w:u w:val="single"/>
        </w:rPr>
        <w:t xml:space="preserve">　   </w:t>
      </w:r>
      <w:r w:rsidRPr="004A3800">
        <w:rPr>
          <w:rFonts w:ascii="標楷體" w:eastAsia="標楷體" w:hAnsi="標楷體" w:hint="eastAsia"/>
        </w:rPr>
        <w:t>月</w:t>
      </w:r>
      <w:r w:rsidRPr="004A3800">
        <w:rPr>
          <w:rFonts w:ascii="標楷體" w:eastAsia="標楷體" w:hAnsi="標楷體" w:hint="eastAsia"/>
          <w:u w:val="single"/>
        </w:rPr>
        <w:t xml:space="preserve">　　　</w:t>
      </w:r>
      <w:r w:rsidRPr="004A3800">
        <w:rPr>
          <w:rFonts w:ascii="標楷體" w:eastAsia="標楷體" w:hAnsi="標楷體" w:hint="eastAsia"/>
        </w:rPr>
        <w:t>日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509"/>
        <w:gridCol w:w="5665"/>
        <w:gridCol w:w="1055"/>
        <w:gridCol w:w="520"/>
        <w:gridCol w:w="521"/>
        <w:gridCol w:w="521"/>
      </w:tblGrid>
      <w:tr w:rsidR="00E23D87" w:rsidRPr="00E47A86" w:rsidTr="00E23D87">
        <w:trPr>
          <w:trHeight w:val="1120"/>
          <w:jc w:val="center"/>
        </w:trPr>
        <w:tc>
          <w:tcPr>
            <w:tcW w:w="1436" w:type="dxa"/>
            <w:gridSpan w:val="2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評鑑項目</w:t>
            </w:r>
          </w:p>
        </w:tc>
        <w:tc>
          <w:tcPr>
            <w:tcW w:w="5832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Chars="25" w:left="65" w:hangingChars="2" w:hanging="5"/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內容配分（四年內之平均值或成果累計）</w:t>
            </w:r>
          </w:p>
        </w:tc>
        <w:tc>
          <w:tcPr>
            <w:tcW w:w="1085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佐證資料編</w:t>
            </w:r>
            <w:r w:rsidRPr="00E47A86">
              <w:rPr>
                <w:rFonts w:eastAsia="標楷體"/>
                <w:b/>
                <w:bCs/>
              </w:rPr>
              <w:t xml:space="preserve">    </w:t>
            </w:r>
            <w:r w:rsidRPr="00E47A86">
              <w:rPr>
                <w:rFonts w:eastAsia="標楷體" w:hAnsi="標楷體"/>
                <w:b/>
                <w:bCs/>
              </w:rPr>
              <w:t>號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72"/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自評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E23D87">
            <w:pPr>
              <w:ind w:left="72"/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系</w:t>
            </w:r>
            <w:r w:rsidRPr="00E47A86">
              <w:rPr>
                <w:rFonts w:eastAsia="標楷體" w:hAnsi="標楷體"/>
                <w:b/>
              </w:rPr>
              <w:t>檢</w:t>
            </w:r>
            <w:proofErr w:type="gramStart"/>
            <w:r w:rsidRPr="00E47A86">
              <w:rPr>
                <w:rFonts w:eastAsia="標楷體" w:hAnsi="標楷體"/>
                <w:b/>
              </w:rPr>
              <w:t>覈</w:t>
            </w:r>
            <w:proofErr w:type="gramEnd"/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72"/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院</w:t>
            </w:r>
          </w:p>
          <w:p w:rsidR="00E23D87" w:rsidRPr="00E47A86" w:rsidRDefault="00E23D87" w:rsidP="00D7109E">
            <w:pPr>
              <w:ind w:left="72"/>
              <w:jc w:val="center"/>
              <w:rPr>
                <w:rFonts w:eastAsia="標楷體"/>
                <w:b/>
                <w:bCs/>
              </w:rPr>
            </w:pPr>
            <w:r w:rsidRPr="00E47A86">
              <w:rPr>
                <w:rFonts w:eastAsia="標楷體" w:hAnsi="標楷體"/>
                <w:b/>
                <w:bCs/>
              </w:rPr>
              <w:t>初評</w:t>
            </w: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23D87" w:rsidRPr="00E47A86" w:rsidRDefault="00E23D87" w:rsidP="00D7109E">
            <w:pPr>
              <w:ind w:left="113" w:right="113"/>
              <w:jc w:val="center"/>
              <w:rPr>
                <w:rFonts w:eastAsia="標楷體"/>
              </w:rPr>
            </w:pPr>
            <w:r w:rsidRPr="00E47A86">
              <w:rPr>
                <w:rFonts w:eastAsia="標楷體" w:hAnsi="標楷體"/>
                <w:sz w:val="28"/>
                <w:szCs w:val="28"/>
              </w:rPr>
              <w:t>壹、教學績效</w:t>
            </w:r>
            <w:r w:rsidRPr="00E47A86">
              <w:rPr>
                <w:rFonts w:eastAsia="標楷體" w:hAnsi="標楷體"/>
                <w:sz w:val="28"/>
                <w:szCs w:val="28"/>
                <w:eastAsianLayout w:id="-1424842751" w:vert="1"/>
              </w:rPr>
              <w:t>（　）</w:t>
            </w:r>
            <w:r w:rsidRPr="00E47A86">
              <w:rPr>
                <w:rFonts w:eastAsia="標楷體" w:hAnsi="標楷體"/>
                <w:sz w:val="28"/>
                <w:szCs w:val="28"/>
              </w:rPr>
              <w:t>％</w:t>
            </w:r>
          </w:p>
        </w:tc>
        <w:tc>
          <w:tcPr>
            <w:tcW w:w="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3D87" w:rsidRPr="004E6F71" w:rsidRDefault="00E23D87" w:rsidP="00D7109E">
            <w:pPr>
              <w:jc w:val="center"/>
              <w:rPr>
                <w:rFonts w:eastAsia="標楷體"/>
                <w:sz w:val="20"/>
              </w:rPr>
            </w:pPr>
            <w:r w:rsidRPr="004E6F71">
              <w:rPr>
                <w:rFonts w:eastAsia="標楷體" w:hint="eastAsia"/>
                <w:sz w:val="20"/>
              </w:rPr>
              <w:t>20</w:t>
            </w:r>
            <w:r w:rsidRPr="004E6F7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5832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E23D87">
            <w:pPr>
              <w:numPr>
                <w:ilvl w:val="0"/>
                <w:numId w:val="3"/>
              </w:numPr>
              <w:tabs>
                <w:tab w:val="clear" w:pos="480"/>
                <w:tab w:val="num" w:pos="307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47A86">
              <w:rPr>
                <w:rFonts w:eastAsia="標楷體"/>
              </w:rPr>
              <w:t>教務行政配合（教學行政配合度得分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 w:rsidRPr="00E47A86">
              <w:rPr>
                <w:rFonts w:eastAsia="標楷體"/>
              </w:rPr>
              <w:t>）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60</w:t>
            </w:r>
            <w:r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3"/>
              </w:numPr>
              <w:tabs>
                <w:tab w:val="clear" w:pos="480"/>
                <w:tab w:val="num" w:pos="307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47A86">
              <w:rPr>
                <w:rFonts w:eastAsia="標楷體"/>
              </w:rPr>
              <w:t>學生問卷反應（教學評量分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 w:rsidRPr="00E47A86">
              <w:rPr>
                <w:rFonts w:eastAsia="標楷體"/>
              </w:rPr>
              <w:t>）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20</w:t>
            </w:r>
            <w:r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/>
              </w:rPr>
              <w:t>教材編撰或教學媒體（每一科目</w:t>
            </w:r>
            <w:r>
              <w:rPr>
                <w:rFonts w:eastAsia="標楷體" w:hint="eastAsia"/>
              </w:rPr>
              <w:t>3</w:t>
            </w:r>
            <w:r w:rsidRPr="00E47A86">
              <w:rPr>
                <w:rFonts w:eastAsia="標楷體"/>
              </w:rPr>
              <w:t>分，若為正式出版或放置數位學習網站者</w:t>
            </w:r>
            <w:proofErr w:type="gramStart"/>
            <w:r w:rsidRPr="00E47A86">
              <w:rPr>
                <w:rFonts w:eastAsia="標楷體"/>
              </w:rPr>
              <w:t>採</w:t>
            </w:r>
            <w:proofErr w:type="gramEnd"/>
            <w:r w:rsidRPr="00E47A86">
              <w:rPr>
                <w:rFonts w:eastAsia="標楷體"/>
              </w:rPr>
              <w:t>2</w:t>
            </w:r>
            <w:r w:rsidRPr="00E47A86">
              <w:rPr>
                <w:rFonts w:eastAsia="標楷體"/>
              </w:rPr>
              <w:t>倍分數計分）。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91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/>
              </w:rPr>
              <w:t>論文或專題指導</w:t>
            </w:r>
            <w:proofErr w:type="gramStart"/>
            <w:r w:rsidRPr="00032E44">
              <w:rPr>
                <w:rFonts w:eastAsia="標楷體"/>
              </w:rPr>
              <w:t>（</w:t>
            </w:r>
            <w:proofErr w:type="gramEnd"/>
            <w:r w:rsidRPr="00032E44">
              <w:rPr>
                <w:rFonts w:eastAsia="標楷體"/>
              </w:rPr>
              <w:t>每案</w:t>
            </w:r>
            <w:r w:rsidRPr="00032E44">
              <w:rPr>
                <w:rFonts w:eastAsia="標楷體" w:hint="eastAsia"/>
              </w:rPr>
              <w:t>3</w:t>
            </w:r>
            <w:r w:rsidRPr="00032E44">
              <w:rPr>
                <w:rFonts w:eastAsia="標楷體"/>
              </w:rPr>
              <w:t>分，共同指導均以二分之一計分</w:t>
            </w:r>
            <w:r w:rsidRPr="00032E44">
              <w:rPr>
                <w:rFonts w:eastAsia="標楷體"/>
              </w:rPr>
              <w:t>)</w:t>
            </w:r>
            <w:r w:rsidRPr="00032E44">
              <w:rPr>
                <w:rFonts w:eastAsia="標楷體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/>
              </w:rPr>
              <w:t>指導學生參加徵文、學術、技藝等競賽獲獎（每一獎項</w:t>
            </w:r>
            <w:r w:rsidRPr="00032E44">
              <w:rPr>
                <w:rFonts w:eastAsia="標楷體" w:hint="eastAsia"/>
              </w:rPr>
              <w:t>3</w:t>
            </w:r>
            <w:r w:rsidRPr="00032E44">
              <w:rPr>
                <w:rFonts w:eastAsia="標楷體"/>
              </w:rPr>
              <w:t>分，</w:t>
            </w:r>
            <w:r w:rsidRPr="00032E44">
              <w:rPr>
                <w:rFonts w:eastAsia="標楷體" w:hint="eastAsia"/>
              </w:rPr>
              <w:t>若為全國性，則</w:t>
            </w:r>
            <w:proofErr w:type="gramStart"/>
            <w:r w:rsidRPr="00032E44">
              <w:rPr>
                <w:rFonts w:eastAsia="標楷體" w:hint="eastAsia"/>
              </w:rPr>
              <w:t>採</w:t>
            </w:r>
            <w:proofErr w:type="gramEnd"/>
            <w:r w:rsidRPr="00032E44">
              <w:rPr>
                <w:rFonts w:eastAsia="標楷體"/>
              </w:rPr>
              <w:t>2</w:t>
            </w:r>
            <w:r w:rsidRPr="00032E44">
              <w:rPr>
                <w:rFonts w:eastAsia="標楷體"/>
              </w:rPr>
              <w:t>倍分數計分）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/>
              </w:rPr>
              <w:t>獲選教育部優秀教育人員、師鐸獎</w:t>
            </w:r>
            <w:r w:rsidRPr="00032E44">
              <w:rPr>
                <w:rFonts w:eastAsia="標楷體" w:hint="eastAsia"/>
              </w:rPr>
              <w:t>、</w:t>
            </w:r>
            <w:r w:rsidRPr="00032E44">
              <w:rPr>
                <w:rFonts w:eastAsia="標楷體"/>
              </w:rPr>
              <w:t>全國通識優良教師（每一獎項</w:t>
            </w:r>
            <w:r w:rsidRPr="00032E44">
              <w:rPr>
                <w:rFonts w:eastAsia="標楷體" w:hint="eastAsia"/>
              </w:rPr>
              <w:t>20</w:t>
            </w:r>
            <w:r w:rsidRPr="00032E44">
              <w:rPr>
                <w:rFonts w:eastAsia="標楷體"/>
              </w:rPr>
              <w:t>分）。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/>
              </w:rPr>
              <w:t>本校教學優良教師、改進教學獎勵教師（每一獎項分別</w:t>
            </w:r>
            <w:proofErr w:type="gramStart"/>
            <w:r w:rsidRPr="00032E44">
              <w:rPr>
                <w:rFonts w:eastAsia="標楷體"/>
              </w:rPr>
              <w:t>採</w:t>
            </w:r>
            <w:proofErr w:type="gramEnd"/>
            <w:r w:rsidRPr="00032E44">
              <w:rPr>
                <w:rFonts w:eastAsia="標楷體"/>
              </w:rPr>
              <w:t>計</w:t>
            </w:r>
            <w:r w:rsidRPr="00032E44">
              <w:rPr>
                <w:rFonts w:eastAsia="標楷體" w:hint="eastAsia"/>
              </w:rPr>
              <w:t>15</w:t>
            </w:r>
            <w:r w:rsidRPr="00032E44">
              <w:rPr>
                <w:rFonts w:eastAsia="標楷體"/>
              </w:rPr>
              <w:t>分與</w:t>
            </w:r>
            <w:r w:rsidRPr="00032E44">
              <w:rPr>
                <w:rFonts w:eastAsia="標楷體"/>
              </w:rPr>
              <w:t>10</w:t>
            </w:r>
            <w:r w:rsidRPr="00032E44">
              <w:rPr>
                <w:rFonts w:eastAsia="標楷體"/>
              </w:rPr>
              <w:t>分）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/>
              </w:rPr>
              <w:t>教育部所屬教學相關計畫主持人（每案</w:t>
            </w:r>
            <w:r w:rsidRPr="00032E44">
              <w:rPr>
                <w:rFonts w:eastAsia="標楷體" w:hint="eastAsia"/>
              </w:rPr>
              <w:t>3</w:t>
            </w:r>
            <w:r w:rsidRPr="00032E44">
              <w:rPr>
                <w:rFonts w:eastAsia="標楷體"/>
              </w:rPr>
              <w:t>分），計畫參與人員（每案</w:t>
            </w:r>
            <w:r w:rsidRPr="00032E44">
              <w:rPr>
                <w:rFonts w:eastAsia="標楷體" w:hint="eastAsia"/>
              </w:rPr>
              <w:t>1</w:t>
            </w:r>
            <w:r w:rsidRPr="00032E44">
              <w:rPr>
                <w:rFonts w:eastAsia="標楷體"/>
              </w:rPr>
              <w:t>分）。</w:t>
            </w:r>
            <w:r w:rsidRPr="00032E44">
              <w:rPr>
                <w:rFonts w:eastAsia="標楷體" w:hint="eastAsia"/>
              </w:rPr>
              <w:t>若屬個人向教育部申請通過之計畫</w:t>
            </w:r>
            <w:r w:rsidRPr="00032E44">
              <w:rPr>
                <w:rFonts w:eastAsia="標楷體"/>
              </w:rPr>
              <w:t>主持人</w:t>
            </w:r>
            <w:r w:rsidRPr="00032E44">
              <w:rPr>
                <w:rFonts w:eastAsia="標楷體" w:hint="eastAsia"/>
              </w:rPr>
              <w:t>（每案</w:t>
            </w:r>
            <w:r w:rsidRPr="00032E44">
              <w:rPr>
                <w:rFonts w:eastAsia="標楷體" w:hint="eastAsia"/>
              </w:rPr>
              <w:t>5</w:t>
            </w:r>
            <w:r w:rsidRPr="00032E44">
              <w:rPr>
                <w:rFonts w:eastAsia="標楷體" w:hint="eastAsia"/>
              </w:rPr>
              <w:t>分），計畫參與人（每案</w:t>
            </w:r>
            <w:r w:rsidRPr="00032E44">
              <w:rPr>
                <w:rFonts w:eastAsia="標楷體" w:hint="eastAsia"/>
              </w:rPr>
              <w:t>2</w:t>
            </w:r>
            <w:r w:rsidRPr="00032E44">
              <w:rPr>
                <w:rFonts w:eastAsia="標楷體" w:hint="eastAsia"/>
              </w:rPr>
              <w:t>分）；若為教學實踐計畫，則</w:t>
            </w:r>
            <w:proofErr w:type="gramStart"/>
            <w:r w:rsidRPr="00032E44">
              <w:rPr>
                <w:rFonts w:eastAsia="標楷體" w:hint="eastAsia"/>
              </w:rPr>
              <w:t>採</w:t>
            </w:r>
            <w:proofErr w:type="gramEnd"/>
            <w:r w:rsidRPr="00032E44">
              <w:rPr>
                <w:rFonts w:eastAsia="標楷體"/>
              </w:rPr>
              <w:t>2</w:t>
            </w:r>
            <w:r w:rsidRPr="00032E44">
              <w:rPr>
                <w:rFonts w:eastAsia="標楷體"/>
              </w:rPr>
              <w:t>倍分數計分</w:t>
            </w:r>
            <w:r w:rsidRPr="00032E44">
              <w:rPr>
                <w:rFonts w:eastAsia="標楷體" w:hint="eastAsia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/>
              </w:rPr>
              <w:t>其他教學相關績效，每案</w:t>
            </w:r>
            <w:r>
              <w:rPr>
                <w:rFonts w:eastAsia="標楷體" w:hint="eastAsia"/>
              </w:rPr>
              <w:t>1</w:t>
            </w:r>
            <w:r w:rsidRPr="00E47A86">
              <w:rPr>
                <w:rFonts w:eastAsia="標楷體"/>
              </w:rPr>
              <w:t>分（請提供具體事實）。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5"/>
          <w:jc w:val="center"/>
        </w:trPr>
        <w:tc>
          <w:tcPr>
            <w:tcW w:w="917" w:type="dxa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D7109E">
            <w:pPr>
              <w:wordWrap w:val="0"/>
              <w:ind w:leftChars="30" w:left="72" w:rightChars="-51" w:right="-122" w:firstLineChars="200" w:firstLine="480"/>
              <w:rPr>
                <w:rFonts w:eastAsia="標楷體"/>
              </w:rPr>
            </w:pPr>
            <w:r w:rsidRPr="00E47A86">
              <w:rPr>
                <w:rFonts w:eastAsia="標楷體"/>
              </w:rPr>
              <w:t>3~9</w:t>
            </w:r>
            <w:r w:rsidRPr="00E47A86">
              <w:rPr>
                <w:rFonts w:eastAsia="標楷體"/>
              </w:rPr>
              <w:t>項超過</w:t>
            </w:r>
            <w:r>
              <w:rPr>
                <w:rFonts w:eastAsia="標楷體" w:hint="eastAsia"/>
              </w:rPr>
              <w:t>2</w:t>
            </w:r>
            <w:r w:rsidRPr="00E47A86">
              <w:rPr>
                <w:rFonts w:eastAsia="標楷體"/>
              </w:rPr>
              <w:t>0</w:t>
            </w:r>
            <w:r w:rsidRPr="00E47A86">
              <w:rPr>
                <w:rFonts w:eastAsia="標楷體"/>
              </w:rPr>
              <w:t>分者以</w:t>
            </w:r>
            <w:r>
              <w:rPr>
                <w:rFonts w:eastAsia="標楷體" w:hint="eastAsia"/>
              </w:rPr>
              <w:t>2</w:t>
            </w:r>
            <w:r w:rsidRPr="00E47A86">
              <w:rPr>
                <w:rFonts w:eastAsia="標楷體"/>
              </w:rPr>
              <w:t>0</w:t>
            </w:r>
            <w:r w:rsidRPr="00E47A86">
              <w:rPr>
                <w:rFonts w:eastAsia="標楷體"/>
              </w:rPr>
              <w:t xml:space="preserve">分計　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E47A86">
              <w:rPr>
                <w:rFonts w:eastAsia="標楷體"/>
              </w:rPr>
              <w:t>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98"/>
          <w:jc w:val="center"/>
        </w:trPr>
        <w:tc>
          <w:tcPr>
            <w:tcW w:w="91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E23D87" w:rsidRPr="00E47A86" w:rsidRDefault="00E23D87" w:rsidP="00D7109E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E23D87" w:rsidRPr="00E47A86" w:rsidRDefault="00E23D87" w:rsidP="00D7109E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832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right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 xml:space="preserve">　　　　　　　　　　　　　　　　　實　　得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1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65"/>
          <w:jc w:val="center"/>
        </w:trPr>
        <w:tc>
          <w:tcPr>
            <w:tcW w:w="143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23D87" w:rsidRPr="00E47A86" w:rsidRDefault="00E23D87" w:rsidP="00D7109E">
            <w:pPr>
              <w:ind w:leftChars="-248" w:left="-595" w:right="113"/>
              <w:jc w:val="center"/>
              <w:rPr>
                <w:rFonts w:eastAsia="標楷體"/>
                <w:sz w:val="20"/>
              </w:rPr>
            </w:pPr>
            <w:r w:rsidRPr="00032E44">
              <w:rPr>
                <w:rFonts w:eastAsia="標楷體" w:hAnsi="標楷體" w:hint="eastAsia"/>
                <w:sz w:val="28"/>
                <w:szCs w:val="28"/>
              </w:rPr>
              <w:t>貳</w:t>
            </w:r>
            <w:r w:rsidRPr="00E47A86">
              <w:rPr>
                <w:rFonts w:eastAsia="標楷體" w:hAnsi="標楷體"/>
                <w:sz w:val="28"/>
                <w:szCs w:val="28"/>
              </w:rPr>
              <w:t>、研究及產學合作績效</w:t>
            </w:r>
            <w:r w:rsidRPr="00E47A86">
              <w:rPr>
                <w:rFonts w:eastAsia="標楷體" w:hAnsi="標楷體"/>
                <w:sz w:val="28"/>
                <w:szCs w:val="28"/>
                <w:eastAsianLayout w:id="-1418043136" w:vert="1"/>
              </w:rPr>
              <w:t>（　）</w:t>
            </w:r>
            <w:r w:rsidRPr="00E47A86">
              <w:rPr>
                <w:rFonts w:eastAsia="標楷體" w:hAnsi="標楷體"/>
                <w:sz w:val="28"/>
                <w:szCs w:val="28"/>
              </w:rPr>
              <w:t>％</w:t>
            </w:r>
          </w:p>
        </w:tc>
        <w:tc>
          <w:tcPr>
            <w:tcW w:w="5832" w:type="dxa"/>
            <w:tcBorders>
              <w:top w:val="double" w:sz="4" w:space="0" w:color="auto"/>
              <w:bottom w:val="nil"/>
            </w:tcBorders>
            <w:vAlign w:val="center"/>
          </w:tcPr>
          <w:p w:rsidR="00E23D87" w:rsidRPr="00BF41B0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BF41B0">
              <w:rPr>
                <w:rFonts w:eastAsia="標楷體" w:hAnsi="標楷體"/>
              </w:rPr>
              <w:t>有評審制度之期刊</w:t>
            </w:r>
            <w:r w:rsidRPr="00BF41B0">
              <w:rPr>
                <w:rFonts w:eastAsia="標楷體" w:hAnsi="標楷體" w:hint="eastAsia"/>
              </w:rPr>
              <w:t>(</w:t>
            </w:r>
            <w:proofErr w:type="gramStart"/>
            <w:r w:rsidRPr="00BF41B0">
              <w:rPr>
                <w:rFonts w:eastAsia="標楷體" w:hAnsi="標楷體" w:hint="eastAsia"/>
              </w:rPr>
              <w:t>含專書</w:t>
            </w:r>
            <w:proofErr w:type="gramEnd"/>
            <w:r w:rsidRPr="00BF41B0">
              <w:rPr>
                <w:rFonts w:eastAsia="標楷體" w:hAnsi="標楷體" w:hint="eastAsia"/>
              </w:rPr>
              <w:t>)</w:t>
            </w:r>
            <w:r w:rsidRPr="00BF41B0">
              <w:rPr>
                <w:rFonts w:eastAsia="標楷體" w:hAnsi="標楷體"/>
              </w:rPr>
              <w:t>論文</w:t>
            </w:r>
            <w:r w:rsidRPr="00BF41B0">
              <w:rPr>
                <w:rFonts w:eastAsia="標楷體" w:hAnsi="標楷體"/>
                <w:spacing w:val="1"/>
                <w:kern w:val="0"/>
                <w:position w:val="-1"/>
              </w:rPr>
              <w:t>，</w:t>
            </w:r>
            <w:r w:rsidRPr="00BF41B0">
              <w:rPr>
                <w:rFonts w:eastAsia="標楷體" w:hAnsi="標楷體"/>
              </w:rPr>
              <w:t>每篇</w:t>
            </w:r>
            <w:r w:rsidRPr="00BF41B0">
              <w:rPr>
                <w:rFonts w:eastAsia="標楷體"/>
              </w:rPr>
              <w:t>20</w:t>
            </w:r>
            <w:r w:rsidRPr="00BF41B0">
              <w:rPr>
                <w:rFonts w:eastAsia="標楷體" w:hAnsi="標楷體"/>
              </w:rPr>
              <w:t>分。</w:t>
            </w:r>
            <w:r w:rsidRPr="00BF41B0">
              <w:rPr>
                <w:rFonts w:eastAsia="標楷體"/>
              </w:rPr>
              <w:t>(</w:t>
            </w:r>
            <w:r w:rsidRPr="00BF41B0">
              <w:rPr>
                <w:rFonts w:eastAsia="標楷體" w:hAnsi="標楷體"/>
              </w:rPr>
              <w:t>第一作者及通訊作者每篇</w:t>
            </w:r>
            <w:r w:rsidRPr="00BF41B0">
              <w:rPr>
                <w:rFonts w:eastAsia="標楷體"/>
              </w:rPr>
              <w:t>100%</w:t>
            </w:r>
            <w:r w:rsidRPr="00BF41B0">
              <w:rPr>
                <w:rFonts w:eastAsia="標楷體" w:hAnsi="標楷體"/>
              </w:rPr>
              <w:t>，第二作者</w:t>
            </w:r>
            <w:r w:rsidRPr="00BF41B0">
              <w:rPr>
                <w:rFonts w:eastAsia="標楷體"/>
              </w:rPr>
              <w:t>60%</w:t>
            </w:r>
            <w:r w:rsidRPr="00BF41B0">
              <w:rPr>
                <w:rFonts w:eastAsia="標楷體" w:hAnsi="標楷體"/>
              </w:rPr>
              <w:t>，第三作者</w:t>
            </w:r>
            <w:r w:rsidRPr="00BF41B0">
              <w:rPr>
                <w:rFonts w:eastAsia="標楷體"/>
              </w:rPr>
              <w:t>40%</w:t>
            </w:r>
            <w:r w:rsidRPr="00BF41B0">
              <w:rPr>
                <w:rFonts w:eastAsia="標楷體" w:hAnsi="標楷體"/>
              </w:rPr>
              <w:t>，第四作者</w:t>
            </w:r>
            <w:r w:rsidRPr="00BF41B0">
              <w:rPr>
                <w:rFonts w:eastAsia="標楷體"/>
              </w:rPr>
              <w:t>20%</w:t>
            </w:r>
            <w:r w:rsidRPr="00BF41B0">
              <w:rPr>
                <w:rFonts w:eastAsia="標楷體" w:hAnsi="標楷體"/>
              </w:rPr>
              <w:t>，第五作者（含）以後均</w:t>
            </w:r>
            <w:proofErr w:type="gramStart"/>
            <w:r w:rsidRPr="00BF41B0">
              <w:rPr>
                <w:rFonts w:eastAsia="標楷體" w:hAnsi="標楷體"/>
              </w:rPr>
              <w:t>採</w:t>
            </w:r>
            <w:proofErr w:type="gramEnd"/>
            <w:r w:rsidRPr="00BF41B0">
              <w:rPr>
                <w:rFonts w:eastAsia="標楷體" w:hAnsi="標楷體"/>
              </w:rPr>
              <w:t>計</w:t>
            </w:r>
            <w:r w:rsidRPr="00BF41B0">
              <w:rPr>
                <w:rFonts w:eastAsia="標楷體"/>
              </w:rPr>
              <w:t>10%)</w:t>
            </w:r>
            <w:r w:rsidRPr="00BF41B0">
              <w:rPr>
                <w:rFonts w:eastAsia="標楷體" w:hAnsi="標楷體"/>
              </w:rPr>
              <w:t>。若為</w:t>
            </w:r>
            <w:r w:rsidRPr="00BF41B0">
              <w:rPr>
                <w:rFonts w:eastAsia="標楷體"/>
              </w:rPr>
              <w:t>SSCI</w:t>
            </w:r>
            <w:r w:rsidRPr="00BF41B0">
              <w:rPr>
                <w:rFonts w:eastAsia="標楷體" w:hAnsi="標楷體"/>
              </w:rPr>
              <w:t>、</w:t>
            </w:r>
            <w:r w:rsidRPr="00BF41B0">
              <w:rPr>
                <w:rFonts w:eastAsia="標楷體"/>
              </w:rPr>
              <w:t>SCI</w:t>
            </w:r>
            <w:r w:rsidRPr="00BF41B0">
              <w:rPr>
                <w:rFonts w:eastAsia="標楷體" w:hAnsi="標楷體"/>
              </w:rPr>
              <w:t>、</w:t>
            </w:r>
            <w:r w:rsidRPr="00BF41B0">
              <w:rPr>
                <w:rFonts w:eastAsia="標楷體"/>
              </w:rPr>
              <w:t>AHCI</w:t>
            </w:r>
            <w:r w:rsidRPr="00BF41B0">
              <w:rPr>
                <w:rFonts w:eastAsia="標楷體" w:hAnsi="標楷體"/>
              </w:rPr>
              <w:t>或</w:t>
            </w:r>
            <w:r w:rsidRPr="00BF41B0">
              <w:rPr>
                <w:rFonts w:eastAsia="標楷體"/>
              </w:rPr>
              <w:t>THCI</w:t>
            </w:r>
            <w:r w:rsidRPr="00BF41B0">
              <w:rPr>
                <w:rFonts w:eastAsia="標楷體" w:hint="eastAsia"/>
              </w:rPr>
              <w:t>第一、二級則</w:t>
            </w:r>
            <w:proofErr w:type="gramStart"/>
            <w:r w:rsidRPr="00BF41B0">
              <w:rPr>
                <w:rFonts w:eastAsia="標楷體" w:hint="eastAsia"/>
              </w:rPr>
              <w:t>採</w:t>
            </w:r>
            <w:proofErr w:type="gramEnd"/>
            <w:r w:rsidRPr="00BF41B0">
              <w:rPr>
                <w:rFonts w:eastAsia="標楷體"/>
              </w:rPr>
              <w:t>2</w:t>
            </w:r>
            <w:r w:rsidRPr="00BF41B0">
              <w:rPr>
                <w:rFonts w:eastAsia="標楷體" w:hAnsi="標楷體"/>
              </w:rPr>
              <w:t>倍分數計分；</w:t>
            </w:r>
            <w:r w:rsidRPr="00BF41B0">
              <w:rPr>
                <w:rFonts w:eastAsia="標楷體"/>
              </w:rPr>
              <w:t>TSSCI</w:t>
            </w:r>
            <w:r w:rsidRPr="00BF41B0">
              <w:rPr>
                <w:rFonts w:eastAsia="標楷體" w:hAnsi="標楷體"/>
              </w:rPr>
              <w:t>、</w:t>
            </w:r>
            <w:r w:rsidRPr="00BF41B0">
              <w:rPr>
                <w:rFonts w:eastAsia="標楷體"/>
              </w:rPr>
              <w:t>THCI</w:t>
            </w:r>
            <w:r w:rsidRPr="00BF41B0">
              <w:rPr>
                <w:rFonts w:eastAsia="標楷體" w:hAnsi="標楷體"/>
              </w:rPr>
              <w:t>或</w:t>
            </w:r>
            <w:r w:rsidRPr="00BF41B0">
              <w:rPr>
                <w:rFonts w:eastAsia="標楷體"/>
              </w:rPr>
              <w:t>EI</w:t>
            </w:r>
            <w:proofErr w:type="gramStart"/>
            <w:r w:rsidRPr="00BF41B0">
              <w:rPr>
                <w:rFonts w:eastAsia="標楷體" w:hAnsi="標楷體"/>
              </w:rPr>
              <w:t>採</w:t>
            </w:r>
            <w:proofErr w:type="gramEnd"/>
            <w:r w:rsidRPr="00BF41B0">
              <w:rPr>
                <w:rFonts w:eastAsia="標楷體"/>
              </w:rPr>
              <w:t>1.5</w:t>
            </w:r>
            <w:r w:rsidRPr="00BF41B0">
              <w:rPr>
                <w:rFonts w:eastAsia="標楷體" w:hAnsi="標楷體"/>
              </w:rPr>
              <w:t>倍分數計分。但</w:t>
            </w:r>
            <w:r w:rsidRPr="00BF41B0">
              <w:rPr>
                <w:rFonts w:eastAsia="標楷體" w:hAnsi="標楷體" w:hint="eastAsia"/>
              </w:rPr>
              <w:t>期刊經比對屬「掠奪性期刊」名單，則不予</w:t>
            </w:r>
            <w:proofErr w:type="gramStart"/>
            <w:r w:rsidRPr="00BF41B0">
              <w:rPr>
                <w:rFonts w:eastAsia="標楷體" w:hAnsi="標楷體" w:hint="eastAsia"/>
              </w:rPr>
              <w:t>採</w:t>
            </w:r>
            <w:proofErr w:type="gramEnd"/>
            <w:r w:rsidRPr="00BF41B0">
              <w:rPr>
                <w:rFonts w:eastAsia="標楷體" w:hAnsi="標楷體" w:hint="eastAsia"/>
              </w:rPr>
              <w:t>計。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b/>
                <w:bCs/>
                <w:sz w:val="20"/>
              </w:rPr>
            </w:pPr>
          </w:p>
        </w:tc>
      </w:tr>
      <w:tr w:rsidR="00E23D87" w:rsidRPr="00E47A86" w:rsidTr="00D7109E">
        <w:trPr>
          <w:cantSplit/>
          <w:trHeight w:val="526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BF41B0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BF41B0">
              <w:rPr>
                <w:rFonts w:eastAsia="標楷體" w:hAnsi="標楷體"/>
              </w:rPr>
              <w:t>國際學術研討會論文，每篇</w:t>
            </w:r>
            <w:r w:rsidRPr="00BF41B0">
              <w:rPr>
                <w:rFonts w:eastAsia="標楷體"/>
              </w:rPr>
              <w:t>15</w:t>
            </w:r>
            <w:r w:rsidRPr="00BF41B0">
              <w:rPr>
                <w:rFonts w:eastAsia="標楷體" w:hAnsi="標楷體"/>
              </w:rPr>
              <w:t>分。</w:t>
            </w:r>
            <w:r w:rsidRPr="00BF41B0">
              <w:rPr>
                <w:rFonts w:eastAsia="標楷體"/>
              </w:rPr>
              <w:t>(</w:t>
            </w:r>
            <w:r w:rsidRPr="00BF41B0">
              <w:rPr>
                <w:rFonts w:eastAsia="標楷體" w:hAnsi="標楷體"/>
              </w:rPr>
              <w:t>第一作者及通訊作者每篇</w:t>
            </w:r>
            <w:r w:rsidRPr="00BF41B0">
              <w:rPr>
                <w:rFonts w:eastAsia="標楷體"/>
              </w:rPr>
              <w:t>100%</w:t>
            </w:r>
            <w:r w:rsidRPr="00BF41B0">
              <w:rPr>
                <w:rFonts w:eastAsia="標楷體" w:hAnsi="標楷體"/>
              </w:rPr>
              <w:t>，第二作者</w:t>
            </w:r>
            <w:r w:rsidRPr="00BF41B0">
              <w:rPr>
                <w:rFonts w:eastAsia="標楷體"/>
              </w:rPr>
              <w:t>60%</w:t>
            </w:r>
            <w:r w:rsidRPr="00BF41B0">
              <w:rPr>
                <w:rFonts w:eastAsia="標楷體" w:hAnsi="標楷體"/>
              </w:rPr>
              <w:t>，第三作者</w:t>
            </w:r>
            <w:r w:rsidRPr="00BF41B0">
              <w:rPr>
                <w:rFonts w:eastAsia="標楷體"/>
              </w:rPr>
              <w:t>40%</w:t>
            </w:r>
            <w:r w:rsidRPr="00BF41B0">
              <w:rPr>
                <w:rFonts w:eastAsia="標楷體" w:hAnsi="標楷體"/>
              </w:rPr>
              <w:t>，第四作者</w:t>
            </w:r>
            <w:r w:rsidRPr="00BF41B0">
              <w:rPr>
                <w:rFonts w:eastAsia="標楷體"/>
              </w:rPr>
              <w:t>20%</w:t>
            </w:r>
            <w:r w:rsidRPr="00BF41B0">
              <w:rPr>
                <w:rFonts w:eastAsia="標楷體" w:hAnsi="標楷體"/>
              </w:rPr>
              <w:t>，第五作者（含）以後均</w:t>
            </w:r>
            <w:proofErr w:type="gramStart"/>
            <w:r w:rsidRPr="00BF41B0">
              <w:rPr>
                <w:rFonts w:eastAsia="標楷體" w:hAnsi="標楷體"/>
              </w:rPr>
              <w:t>採</w:t>
            </w:r>
            <w:proofErr w:type="gramEnd"/>
            <w:r w:rsidRPr="00BF41B0">
              <w:rPr>
                <w:rFonts w:eastAsia="標楷體" w:hAnsi="標楷體"/>
              </w:rPr>
              <w:t>計</w:t>
            </w:r>
            <w:r w:rsidRPr="00BF41B0">
              <w:rPr>
                <w:rFonts w:eastAsia="標楷體"/>
              </w:rPr>
              <w:t>10%)</w:t>
            </w:r>
            <w:r w:rsidRPr="00BF41B0">
              <w:rPr>
                <w:rFonts w:eastAsia="標楷體" w:hAnsi="標楷體"/>
              </w:rPr>
              <w:t>。</w:t>
            </w:r>
            <w:r w:rsidRPr="00BF41B0">
              <w:rPr>
                <w:rFonts w:eastAsia="標楷體" w:hAnsi="標楷體" w:hint="eastAsia"/>
              </w:rPr>
              <w:t>但國際研討會</w:t>
            </w:r>
            <w:r w:rsidRPr="00BF41B0">
              <w:rPr>
                <w:rFonts w:eastAsia="標楷體" w:hAnsi="標楷體"/>
              </w:rPr>
              <w:t>論文</w:t>
            </w:r>
            <w:r w:rsidRPr="00BF41B0">
              <w:rPr>
                <w:rFonts w:eastAsia="標楷體" w:hAnsi="標楷體" w:hint="eastAsia"/>
              </w:rPr>
              <w:t>經比對屬「掠奪性研討會</w:t>
            </w:r>
            <w:r w:rsidRPr="00BF41B0">
              <w:rPr>
                <w:rFonts w:eastAsia="標楷體" w:hAnsi="標楷體"/>
              </w:rPr>
              <w:t>論文</w:t>
            </w:r>
            <w:r w:rsidRPr="00BF41B0">
              <w:rPr>
                <w:rFonts w:eastAsia="標楷體" w:hAnsi="標楷體" w:hint="eastAsia"/>
              </w:rPr>
              <w:t>」名單，則不予</w:t>
            </w:r>
            <w:proofErr w:type="gramStart"/>
            <w:r w:rsidRPr="00BF41B0">
              <w:rPr>
                <w:rFonts w:eastAsia="標楷體" w:hAnsi="標楷體" w:hint="eastAsia"/>
              </w:rPr>
              <w:t>採</w:t>
            </w:r>
            <w:proofErr w:type="gramEnd"/>
            <w:r w:rsidRPr="00BF41B0">
              <w:rPr>
                <w:rFonts w:eastAsia="標楷體" w:hAnsi="標楷體" w:hint="eastAsia"/>
              </w:rPr>
              <w:t>計。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國內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含兩岸</w:t>
            </w:r>
            <w:r>
              <w:rPr>
                <w:rFonts w:eastAsia="標楷體" w:hAnsi="標楷體" w:hint="eastAsia"/>
              </w:rPr>
              <w:t>)</w:t>
            </w:r>
            <w:r w:rsidRPr="00E47A86">
              <w:rPr>
                <w:rFonts w:eastAsia="標楷體" w:hAnsi="標楷體"/>
              </w:rPr>
              <w:t>學術研討會論文，每篇</w:t>
            </w:r>
            <w:r w:rsidRPr="00E47A86">
              <w:rPr>
                <w:rFonts w:eastAsia="標楷體"/>
              </w:rPr>
              <w:t>10</w:t>
            </w:r>
            <w:r w:rsidRPr="00E47A86">
              <w:rPr>
                <w:rFonts w:eastAsia="標楷體" w:hAnsi="標楷體"/>
              </w:rPr>
              <w:t>分。</w:t>
            </w:r>
            <w:r w:rsidRPr="00E47A86">
              <w:rPr>
                <w:rFonts w:eastAsia="標楷體"/>
              </w:rPr>
              <w:t>(</w:t>
            </w:r>
            <w:r w:rsidRPr="00E47A86">
              <w:rPr>
                <w:rFonts w:eastAsia="標楷體" w:hAnsi="標楷體"/>
              </w:rPr>
              <w:t>第一作者及通訊作者每篇</w:t>
            </w:r>
            <w:r w:rsidRPr="00E47A86">
              <w:rPr>
                <w:rFonts w:eastAsia="標楷體"/>
              </w:rPr>
              <w:t>100%</w:t>
            </w:r>
            <w:r w:rsidRPr="00E47A86">
              <w:rPr>
                <w:rFonts w:eastAsia="標楷體" w:hAnsi="標楷體"/>
              </w:rPr>
              <w:t>，第二作者</w:t>
            </w:r>
            <w:r w:rsidRPr="00E47A86">
              <w:rPr>
                <w:rFonts w:eastAsia="標楷體"/>
              </w:rPr>
              <w:t>60%</w:t>
            </w:r>
            <w:r w:rsidRPr="00E47A86">
              <w:rPr>
                <w:rFonts w:eastAsia="標楷體" w:hAnsi="標楷體"/>
              </w:rPr>
              <w:t>，第三作者</w:t>
            </w:r>
            <w:r w:rsidRPr="00E47A86">
              <w:rPr>
                <w:rFonts w:eastAsia="標楷體"/>
              </w:rPr>
              <w:t>40%</w:t>
            </w:r>
            <w:r w:rsidRPr="00E47A86">
              <w:rPr>
                <w:rFonts w:eastAsia="標楷體" w:hAnsi="標楷體"/>
              </w:rPr>
              <w:t>，第四作者</w:t>
            </w:r>
            <w:r w:rsidRPr="00E47A86">
              <w:rPr>
                <w:rFonts w:eastAsia="標楷體"/>
              </w:rPr>
              <w:t>20%</w:t>
            </w:r>
            <w:r w:rsidRPr="00E47A86">
              <w:rPr>
                <w:rFonts w:eastAsia="標楷體" w:hAnsi="標楷體"/>
              </w:rPr>
              <w:t>，第五作者（含）以後均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</w:t>
            </w:r>
            <w:r w:rsidRPr="00E47A86">
              <w:rPr>
                <w:rFonts w:eastAsia="標楷體"/>
              </w:rPr>
              <w:t>10%)</w:t>
            </w:r>
            <w:r w:rsidRPr="00E47A86">
              <w:rPr>
                <w:rFonts w:eastAsia="標楷體" w:hAnsi="標楷體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已出版</w:t>
            </w:r>
            <w:r w:rsidRPr="00032E44">
              <w:rPr>
                <w:rFonts w:eastAsia="標楷體" w:hAnsi="標楷體" w:hint="eastAsia"/>
              </w:rPr>
              <w:t>並公開發行</w:t>
            </w:r>
            <w:r w:rsidRPr="00E47A86">
              <w:rPr>
                <w:rFonts w:eastAsia="標楷體" w:hAnsi="標楷體"/>
              </w:rPr>
              <w:t>之專門著作，每本</w:t>
            </w:r>
            <w:r>
              <w:rPr>
                <w:rFonts w:eastAsia="標楷體" w:hAnsi="標楷體" w:hint="eastAsia"/>
              </w:rPr>
              <w:t>最高</w:t>
            </w:r>
            <w:r w:rsidRPr="00E47A86">
              <w:rPr>
                <w:rFonts w:eastAsia="標楷體"/>
              </w:rPr>
              <w:t>40</w:t>
            </w:r>
            <w:r w:rsidRPr="00E47A86"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無審查制度者分數折半計算</w:t>
            </w:r>
            <w:r>
              <w:rPr>
                <w:rFonts w:eastAsia="標楷體" w:hAnsi="標楷體" w:hint="eastAsia"/>
              </w:rPr>
              <w:t>)</w:t>
            </w:r>
            <w:r w:rsidRPr="00E47A86">
              <w:rPr>
                <w:rFonts w:eastAsia="標楷體" w:hAnsi="標楷體"/>
              </w:rPr>
              <w:t>。</w:t>
            </w:r>
            <w:r w:rsidRPr="00E47A8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多作者</w:t>
            </w:r>
            <w:r w:rsidRPr="00E47A86">
              <w:rPr>
                <w:rFonts w:eastAsia="標楷體" w:hAnsi="標楷體"/>
              </w:rPr>
              <w:t>以篇章數平均計分，無篇章者依作者人數計分</w:t>
            </w:r>
            <w:r w:rsidRPr="00E47A86">
              <w:rPr>
                <w:rFonts w:eastAsia="標楷體"/>
              </w:rPr>
              <w:t>)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84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翻譯、書評、</w:t>
            </w:r>
            <w:proofErr w:type="gramStart"/>
            <w:r w:rsidRPr="00E47A86">
              <w:rPr>
                <w:rFonts w:eastAsia="標楷體" w:hAnsi="標楷體"/>
              </w:rPr>
              <w:t>審校</w:t>
            </w:r>
            <w:proofErr w:type="gramEnd"/>
            <w:r w:rsidRPr="00E47A86">
              <w:rPr>
                <w:rFonts w:eastAsia="標楷體" w:hAnsi="標楷體"/>
              </w:rPr>
              <w:t>、編著，每本</w:t>
            </w:r>
            <w:r>
              <w:rPr>
                <w:rFonts w:eastAsia="標楷體" w:hAnsi="標楷體" w:hint="eastAsia"/>
              </w:rPr>
              <w:t>最高</w:t>
            </w:r>
            <w:r w:rsidRPr="00E47A86">
              <w:rPr>
                <w:rFonts w:eastAsia="標楷體"/>
              </w:rPr>
              <w:t>10</w:t>
            </w:r>
            <w:r w:rsidRPr="00E47A86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65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 w:hint="eastAsia"/>
              </w:rPr>
              <w:t>參加全國性文學、藝術、技能及教學專業性競賽，有獲獎事實，每件</w:t>
            </w:r>
            <w:r w:rsidRPr="00032E44">
              <w:rPr>
                <w:rFonts w:eastAsia="標楷體" w:hAnsi="標楷體" w:hint="eastAsia"/>
              </w:rPr>
              <w:t>20</w:t>
            </w:r>
            <w:r w:rsidRPr="00032E44">
              <w:rPr>
                <w:rFonts w:eastAsia="標楷體" w:hAnsi="標楷體" w:hint="eastAsia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65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 w:hAnsi="標楷體"/>
              </w:rPr>
            </w:pPr>
            <w:r w:rsidRPr="00032E44">
              <w:rPr>
                <w:rFonts w:eastAsia="標楷體" w:hAnsi="標楷體"/>
              </w:rPr>
              <w:t>個人展演或參加聯展</w:t>
            </w:r>
            <w:proofErr w:type="gramStart"/>
            <w:r w:rsidRPr="00032E44">
              <w:rPr>
                <w:rFonts w:eastAsia="標楷體" w:hAnsi="標楷體"/>
              </w:rPr>
              <w:t>（</w:t>
            </w:r>
            <w:proofErr w:type="gramEnd"/>
            <w:r w:rsidRPr="00032E44">
              <w:rPr>
                <w:rFonts w:eastAsia="標楷體" w:hAnsi="標楷體"/>
              </w:rPr>
              <w:t>國內外公家展覽場所及大專校院藝術中心舉辦個人展演</w:t>
            </w:r>
            <w:r w:rsidRPr="00032E44">
              <w:rPr>
                <w:rFonts w:eastAsia="標楷體"/>
              </w:rPr>
              <w:t>10</w:t>
            </w:r>
            <w:r w:rsidRPr="00032E44">
              <w:rPr>
                <w:rFonts w:eastAsia="標楷體" w:hAnsi="標楷體"/>
              </w:rPr>
              <w:t>分，其他場所之個人展演</w:t>
            </w:r>
            <w:r w:rsidRPr="00032E44">
              <w:rPr>
                <w:rFonts w:eastAsia="標楷體"/>
              </w:rPr>
              <w:t>7</w:t>
            </w:r>
            <w:r w:rsidRPr="00032E44">
              <w:rPr>
                <w:rFonts w:eastAsia="標楷體" w:hAnsi="標楷體"/>
              </w:rPr>
              <w:t>分。國內外各展覽場所出品參加聯展</w:t>
            </w:r>
            <w:r w:rsidRPr="00032E44">
              <w:rPr>
                <w:rFonts w:eastAsia="標楷體"/>
              </w:rPr>
              <w:t>4</w:t>
            </w:r>
            <w:r w:rsidRPr="00032E44">
              <w:rPr>
                <w:rFonts w:eastAsia="標楷體" w:hAnsi="標楷體"/>
              </w:rPr>
              <w:t>分</w:t>
            </w:r>
            <w:proofErr w:type="gramStart"/>
            <w:r w:rsidRPr="00032E44">
              <w:rPr>
                <w:rFonts w:eastAsia="標楷體" w:hAnsi="標楷體"/>
              </w:rPr>
              <w:t>）</w:t>
            </w:r>
            <w:proofErr w:type="gramEnd"/>
            <w:r w:rsidRPr="00032E44">
              <w:rPr>
                <w:rFonts w:eastAsia="標楷體" w:hAnsi="標楷體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65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學校登記有案之專題研究、</w:t>
            </w:r>
            <w:r w:rsidRPr="00E47A86">
              <w:rPr>
                <w:rFonts w:eastAsia="標楷體" w:hAnsi="標楷體"/>
              </w:rPr>
              <w:t>產學合作計畫主持人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或含有產學合作之實務計畫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/>
              </w:rPr>
              <w:t>，</w:t>
            </w:r>
            <w:r w:rsidRPr="00E47A86">
              <w:rPr>
                <w:rFonts w:eastAsia="標楷體" w:hAnsi="標楷體"/>
              </w:rPr>
              <w:t>每案</w:t>
            </w:r>
            <w:r w:rsidRPr="00E47A86">
              <w:rPr>
                <w:rFonts w:eastAsia="標楷體"/>
              </w:rPr>
              <w:t>10</w:t>
            </w:r>
            <w:r w:rsidRPr="00E47A86">
              <w:rPr>
                <w:rFonts w:eastAsia="標楷體" w:hAnsi="標楷體"/>
              </w:rPr>
              <w:t>分，共同（協同）主持人每案</w:t>
            </w:r>
            <w:r w:rsidRPr="00E47A86">
              <w:rPr>
                <w:rFonts w:eastAsia="標楷體"/>
              </w:rPr>
              <w:t>5</w:t>
            </w:r>
            <w:r w:rsidRPr="00E47A86">
              <w:rPr>
                <w:rFonts w:eastAsia="標楷體" w:hAnsi="標楷體"/>
              </w:rPr>
              <w:t>分，計畫參與人員每案</w:t>
            </w:r>
            <w:r w:rsidRPr="00E47A86">
              <w:rPr>
                <w:rFonts w:eastAsia="標楷體"/>
              </w:rPr>
              <w:t>2</w:t>
            </w:r>
            <w:r w:rsidRPr="00E47A86">
              <w:rPr>
                <w:rFonts w:eastAsia="標楷體" w:hAnsi="標楷體"/>
              </w:rPr>
              <w:t>分（若為科技部計畫或金額達</w:t>
            </w:r>
            <w:r w:rsidRPr="00E47A86">
              <w:rPr>
                <w:rFonts w:eastAsia="標楷體"/>
              </w:rPr>
              <w:t>20</w:t>
            </w:r>
            <w:r w:rsidRPr="00E47A86">
              <w:rPr>
                <w:rFonts w:eastAsia="標楷體" w:hAnsi="標楷體"/>
              </w:rPr>
              <w:t>萬元以上之計畫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/>
              </w:rPr>
              <w:t>2</w:t>
            </w:r>
            <w:r w:rsidRPr="00E47A86">
              <w:rPr>
                <w:rFonts w:eastAsia="標楷體" w:hAnsi="標楷體"/>
              </w:rPr>
              <w:t>倍分數計分，多年期計畫按各年度分別計分）。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政府機關或財團法人之學術研究成果獎勵，</w:t>
            </w:r>
            <w:r w:rsidRPr="00E47A86">
              <w:rPr>
                <w:rFonts w:eastAsia="標楷體"/>
              </w:rPr>
              <w:t>10</w:t>
            </w:r>
            <w:r w:rsidRPr="00E47A86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175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相關專業之</w:t>
            </w:r>
            <w:r w:rsidRPr="00032E44">
              <w:rPr>
                <w:rFonts w:eastAsia="標楷體" w:hAnsi="標楷體" w:hint="eastAsia"/>
              </w:rPr>
              <w:t>技術轉移與發明專利、</w:t>
            </w:r>
            <w:r w:rsidRPr="00032E44">
              <w:rPr>
                <w:rFonts w:eastAsia="標楷體" w:hAnsi="標楷體"/>
              </w:rPr>
              <w:t>新</w:t>
            </w:r>
            <w:r w:rsidRPr="00032E44">
              <w:rPr>
                <w:rFonts w:eastAsia="標楷體" w:hAnsi="標楷體" w:hint="eastAsia"/>
              </w:rPr>
              <w:t>型式</w:t>
            </w:r>
            <w:r w:rsidRPr="00032E44">
              <w:rPr>
                <w:rFonts w:eastAsia="標楷體" w:hAnsi="標楷體"/>
              </w:rPr>
              <w:t>專利</w:t>
            </w:r>
            <w:r w:rsidRPr="00032E44">
              <w:rPr>
                <w:rFonts w:eastAsia="標楷體"/>
              </w:rPr>
              <w:t>(</w:t>
            </w:r>
            <w:r w:rsidRPr="00032E44">
              <w:rPr>
                <w:rFonts w:eastAsia="標楷體" w:hAnsi="標楷體"/>
              </w:rPr>
              <w:t>或著作授權</w:t>
            </w:r>
            <w:r w:rsidRPr="00032E44">
              <w:rPr>
                <w:rFonts w:eastAsia="標楷體"/>
              </w:rPr>
              <w:t>)</w:t>
            </w:r>
            <w:r w:rsidRPr="00032E44">
              <w:rPr>
                <w:rFonts w:eastAsia="標楷體" w:hAnsi="標楷體"/>
              </w:rPr>
              <w:t>，每件</w:t>
            </w:r>
            <w:r w:rsidRPr="00032E44">
              <w:rPr>
                <w:rFonts w:eastAsia="標楷體" w:hAnsi="標楷體" w:hint="eastAsia"/>
              </w:rPr>
              <w:t>最高</w:t>
            </w:r>
            <w:r w:rsidRPr="00032E44">
              <w:rPr>
                <w:rFonts w:eastAsia="標楷體"/>
              </w:rPr>
              <w:t>15</w:t>
            </w:r>
            <w:r w:rsidRPr="00032E44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6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教師取得專業證照，每件</w:t>
            </w:r>
            <w:r w:rsidRPr="00032E44">
              <w:rPr>
                <w:rFonts w:eastAsia="標楷體"/>
              </w:rPr>
              <w:t>10</w:t>
            </w:r>
            <w:r w:rsidRPr="00032E44">
              <w:rPr>
                <w:rFonts w:eastAsia="標楷體" w:hAnsi="標楷體"/>
              </w:rPr>
              <w:t>分，最高</w:t>
            </w:r>
            <w:proofErr w:type="gramStart"/>
            <w:r w:rsidRPr="00032E44">
              <w:rPr>
                <w:rFonts w:eastAsia="標楷體" w:hAnsi="標楷體"/>
              </w:rPr>
              <w:t>採</w:t>
            </w:r>
            <w:proofErr w:type="gramEnd"/>
            <w:r w:rsidRPr="00032E44">
              <w:rPr>
                <w:rFonts w:eastAsia="標楷體" w:hAnsi="標楷體"/>
              </w:rPr>
              <w:t>計</w:t>
            </w:r>
            <w:r w:rsidRPr="00032E44">
              <w:rPr>
                <w:rFonts w:eastAsia="標楷體"/>
              </w:rPr>
              <w:t>30</w:t>
            </w:r>
            <w:r w:rsidRPr="00032E44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6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其他學術研究及</w:t>
            </w:r>
            <w:r w:rsidRPr="00032E44">
              <w:rPr>
                <w:rFonts w:eastAsia="標楷體" w:hAnsi="標楷體" w:hint="eastAsia"/>
              </w:rPr>
              <w:t>創作</w:t>
            </w:r>
            <w:r w:rsidRPr="00032E44">
              <w:rPr>
                <w:rFonts w:eastAsia="標楷體" w:hAnsi="標楷體"/>
              </w:rPr>
              <w:t>成果，每案</w:t>
            </w:r>
            <w:r w:rsidRPr="00032E44">
              <w:rPr>
                <w:rFonts w:eastAsia="標楷體"/>
              </w:rPr>
              <w:t>5</w:t>
            </w:r>
            <w:r w:rsidRPr="00032E44">
              <w:rPr>
                <w:rFonts w:eastAsia="標楷體" w:hAnsi="標楷體"/>
              </w:rPr>
              <w:t>分，最高</w:t>
            </w:r>
            <w:proofErr w:type="gramStart"/>
            <w:r w:rsidRPr="00032E44">
              <w:rPr>
                <w:rFonts w:eastAsia="標楷體" w:hAnsi="標楷體"/>
              </w:rPr>
              <w:t>採</w:t>
            </w:r>
            <w:proofErr w:type="gramEnd"/>
            <w:r w:rsidRPr="00032E44">
              <w:rPr>
                <w:rFonts w:eastAsia="標楷體" w:hAnsi="標楷體"/>
              </w:rPr>
              <w:t>計</w:t>
            </w:r>
            <w:r w:rsidRPr="00032E44">
              <w:rPr>
                <w:rFonts w:eastAsia="標楷體"/>
              </w:rPr>
              <w:t>10</w:t>
            </w:r>
            <w:r w:rsidRPr="00032E44">
              <w:rPr>
                <w:rFonts w:eastAsia="標楷體" w:hAnsi="標楷體"/>
              </w:rPr>
              <w:t>分，</w:t>
            </w:r>
            <w:r w:rsidRPr="00032E44">
              <w:rPr>
                <w:rFonts w:eastAsia="標楷體"/>
              </w:rPr>
              <w:t>(</w:t>
            </w:r>
            <w:r w:rsidRPr="00032E44">
              <w:rPr>
                <w:rFonts w:eastAsia="標楷體" w:hAnsi="標楷體"/>
              </w:rPr>
              <w:t>請提供具體事實</w:t>
            </w:r>
            <w:r w:rsidRPr="00032E44">
              <w:rPr>
                <w:rFonts w:eastAsia="標楷體"/>
              </w:rPr>
              <w:t>)</w:t>
            </w:r>
            <w:r w:rsidRPr="00032E44">
              <w:rPr>
                <w:rFonts w:eastAsia="標楷體" w:hAnsi="標楷體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41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D7109E">
            <w:pPr>
              <w:wordWrap w:val="0"/>
              <w:jc w:val="right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超過</w:t>
            </w:r>
            <w:r w:rsidRPr="00E47A86">
              <w:rPr>
                <w:rFonts w:eastAsia="標楷體"/>
              </w:rPr>
              <w:t>100</w:t>
            </w:r>
            <w:r w:rsidRPr="00E47A86">
              <w:rPr>
                <w:rFonts w:eastAsia="標楷體" w:hAnsi="標楷體"/>
              </w:rPr>
              <w:t>分者以</w:t>
            </w:r>
            <w:r w:rsidRPr="00E47A86">
              <w:rPr>
                <w:rFonts w:eastAsia="標楷體"/>
              </w:rPr>
              <w:t>100</w:t>
            </w:r>
            <w:r w:rsidRPr="00E47A86">
              <w:rPr>
                <w:rFonts w:eastAsia="標楷體" w:hAnsi="標楷體"/>
              </w:rPr>
              <w:t xml:space="preserve">分計　　</w:t>
            </w:r>
            <w:r w:rsidRPr="00E47A86">
              <w:rPr>
                <w:rFonts w:eastAsia="標楷體"/>
              </w:rPr>
              <w:t xml:space="preserve">       </w:t>
            </w:r>
            <w:r w:rsidRPr="00E47A86">
              <w:rPr>
                <w:rFonts w:eastAsia="標楷體" w:hAnsi="標楷體"/>
              </w:rPr>
              <w:t xml:space="preserve">　小</w:t>
            </w:r>
            <w:r w:rsidRPr="00E47A86">
              <w:rPr>
                <w:rFonts w:eastAsia="標楷體"/>
              </w:rPr>
              <w:t xml:space="preserve"> </w:t>
            </w:r>
            <w:r w:rsidRPr="00E47A86">
              <w:rPr>
                <w:rFonts w:eastAsia="標楷體" w:hAnsi="標楷體"/>
              </w:rPr>
              <w:t xml:space="preserve">　</w:t>
            </w:r>
            <w:r w:rsidRPr="00E47A86">
              <w:rPr>
                <w:rFonts w:eastAsia="標楷體"/>
              </w:rPr>
              <w:t xml:space="preserve"> </w:t>
            </w:r>
            <w:r w:rsidRPr="00E47A86">
              <w:rPr>
                <w:rFonts w:eastAsia="標楷體" w:hAnsi="標楷體"/>
              </w:rPr>
              <w:t>計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41"/>
          <w:jc w:val="center"/>
        </w:trPr>
        <w:tc>
          <w:tcPr>
            <w:tcW w:w="1436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E23D87" w:rsidRPr="00E47A86" w:rsidRDefault="00E23D87" w:rsidP="00D7109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832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right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 xml:space="preserve">　　　　　　　　　　　　　　　　　實　　得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0"/>
          <w:jc w:val="center"/>
        </w:trPr>
        <w:tc>
          <w:tcPr>
            <w:tcW w:w="143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23D87" w:rsidRPr="00032E44" w:rsidRDefault="00E23D87" w:rsidP="00D7109E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032E44">
              <w:rPr>
                <w:rFonts w:eastAsia="標楷體" w:hAnsi="標楷體" w:hint="eastAsia"/>
                <w:sz w:val="28"/>
                <w:szCs w:val="28"/>
              </w:rPr>
              <w:t>參</w:t>
            </w:r>
            <w:r w:rsidRPr="00032E44">
              <w:rPr>
                <w:rFonts w:eastAsia="標楷體" w:hAnsi="標楷體"/>
                <w:sz w:val="28"/>
                <w:szCs w:val="28"/>
              </w:rPr>
              <w:t>、輔導及服務績效</w:t>
            </w:r>
            <w:r w:rsidRPr="00032E44">
              <w:rPr>
                <w:rFonts w:eastAsia="標楷體" w:hAnsi="標楷體"/>
                <w:sz w:val="28"/>
                <w:szCs w:val="28"/>
                <w:eastAsianLayout w:id="-1418041600" w:vert="1"/>
              </w:rPr>
              <w:t>（　）</w:t>
            </w:r>
            <w:r w:rsidRPr="00032E44">
              <w:rPr>
                <w:rFonts w:eastAsia="標楷體" w:hAnsi="標楷體"/>
                <w:sz w:val="28"/>
                <w:szCs w:val="28"/>
              </w:rPr>
              <w:t>％</w:t>
            </w:r>
          </w:p>
        </w:tc>
        <w:tc>
          <w:tcPr>
            <w:tcW w:w="5832" w:type="dxa"/>
            <w:tcBorders>
              <w:top w:val="double" w:sz="4" w:space="0" w:color="auto"/>
            </w:tcBorders>
            <w:vAlign w:val="center"/>
          </w:tcPr>
          <w:p w:rsidR="00E23D87" w:rsidRPr="00032E44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擔任導師或社團指導老師</w:t>
            </w:r>
            <w:r w:rsidRPr="00032E44">
              <w:rPr>
                <w:rFonts w:eastAsia="標楷體"/>
              </w:rPr>
              <w:t>(</w:t>
            </w:r>
            <w:r w:rsidRPr="00032E44">
              <w:rPr>
                <w:rFonts w:eastAsia="標楷體" w:hAnsi="標楷體"/>
              </w:rPr>
              <w:t>含校隊</w:t>
            </w:r>
            <w:r w:rsidRPr="00032E44">
              <w:rPr>
                <w:rFonts w:eastAsia="標楷體"/>
              </w:rPr>
              <w:t>)</w:t>
            </w:r>
            <w:proofErr w:type="gramStart"/>
            <w:r w:rsidRPr="00032E44">
              <w:rPr>
                <w:rFonts w:eastAsia="標楷體" w:hAnsi="標楷體"/>
              </w:rPr>
              <w:t>（</w:t>
            </w:r>
            <w:proofErr w:type="gramEnd"/>
            <w:r w:rsidRPr="00032E44">
              <w:rPr>
                <w:rFonts w:eastAsia="標楷體" w:hAnsi="標楷體"/>
              </w:rPr>
              <w:t>導師或社團指導老師，每項或每學期每班</w:t>
            </w:r>
            <w:r w:rsidRPr="00032E44">
              <w:rPr>
                <w:rFonts w:eastAsia="標楷體"/>
              </w:rPr>
              <w:t>5</w:t>
            </w:r>
            <w:r w:rsidRPr="00032E44">
              <w:rPr>
                <w:rFonts w:eastAsia="標楷體" w:hAnsi="標楷體"/>
              </w:rPr>
              <w:t>分；優良</w:t>
            </w:r>
            <w:proofErr w:type="gramStart"/>
            <w:r w:rsidRPr="00032E44">
              <w:rPr>
                <w:rFonts w:eastAsia="標楷體" w:hAnsi="標楷體"/>
              </w:rPr>
              <w:t>導師或績優</w:t>
            </w:r>
            <w:proofErr w:type="gramEnd"/>
            <w:r w:rsidRPr="00032E44">
              <w:rPr>
                <w:rFonts w:eastAsia="標楷體" w:hAnsi="標楷體"/>
              </w:rPr>
              <w:t>社團指導老師，每項或每學期每班</w:t>
            </w:r>
            <w:r w:rsidRPr="00032E44">
              <w:rPr>
                <w:rFonts w:eastAsia="標楷體"/>
              </w:rPr>
              <w:t>7</w:t>
            </w:r>
            <w:r w:rsidRPr="00032E44">
              <w:rPr>
                <w:rFonts w:eastAsia="標楷體" w:hAnsi="標楷體"/>
              </w:rPr>
              <w:t>分，最高</w:t>
            </w:r>
            <w:proofErr w:type="gramStart"/>
            <w:r w:rsidRPr="00032E44">
              <w:rPr>
                <w:rFonts w:eastAsia="標楷體" w:hAnsi="標楷體"/>
              </w:rPr>
              <w:t>採</w:t>
            </w:r>
            <w:proofErr w:type="gramEnd"/>
            <w:r w:rsidRPr="00032E44">
              <w:rPr>
                <w:rFonts w:eastAsia="標楷體" w:hAnsi="標楷體"/>
              </w:rPr>
              <w:t>計</w:t>
            </w:r>
            <w:r w:rsidRPr="00032E44">
              <w:rPr>
                <w:rFonts w:eastAsia="標楷體"/>
              </w:rPr>
              <w:t>20</w:t>
            </w:r>
            <w:r w:rsidRPr="00032E44">
              <w:rPr>
                <w:rFonts w:eastAsia="標楷體" w:hAnsi="標楷體"/>
              </w:rPr>
              <w:t>分</w:t>
            </w:r>
            <w:proofErr w:type="gramStart"/>
            <w:r w:rsidRPr="00032E44">
              <w:rPr>
                <w:rFonts w:eastAsia="標楷體" w:hAnsi="標楷體"/>
              </w:rPr>
              <w:t>）</w:t>
            </w:r>
            <w:proofErr w:type="gramEnd"/>
            <w:r w:rsidRPr="00032E44">
              <w:rPr>
                <w:rFonts w:eastAsia="標楷體" w:hAnsi="標楷體"/>
              </w:rPr>
              <w:t>。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032E44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擔任本校義務輔導老師（含實施補救教學）、身心障礙學生課業輔導，每</w:t>
            </w:r>
            <w:r w:rsidRPr="00032E44">
              <w:rPr>
                <w:rFonts w:eastAsia="標楷體" w:hAnsi="標楷體" w:hint="eastAsia"/>
              </w:rPr>
              <w:t>學期</w:t>
            </w:r>
            <w:r w:rsidRPr="00032E44">
              <w:rPr>
                <w:rFonts w:eastAsia="標楷體"/>
              </w:rPr>
              <w:t>8</w:t>
            </w:r>
            <w:r w:rsidRPr="00032E44">
              <w:rPr>
                <w:rFonts w:eastAsia="標楷體" w:hAnsi="標楷體"/>
              </w:rPr>
              <w:t>分（請提供具體事實），最高</w:t>
            </w:r>
            <w:proofErr w:type="gramStart"/>
            <w:r w:rsidRPr="00032E44">
              <w:rPr>
                <w:rFonts w:eastAsia="標楷體" w:hAnsi="標楷體"/>
              </w:rPr>
              <w:t>採</w:t>
            </w:r>
            <w:proofErr w:type="gramEnd"/>
            <w:r w:rsidRPr="00032E44">
              <w:rPr>
                <w:rFonts w:eastAsia="標楷體" w:hAnsi="標楷體"/>
              </w:rPr>
              <w:t>計</w:t>
            </w:r>
            <w:r w:rsidRPr="00032E44">
              <w:rPr>
                <w:rFonts w:eastAsia="標楷體" w:hint="eastAsia"/>
              </w:rPr>
              <w:t>4</w:t>
            </w:r>
            <w:r w:rsidRPr="00032E44">
              <w:rPr>
                <w:rFonts w:eastAsia="標楷體"/>
              </w:rPr>
              <w:t>0</w:t>
            </w:r>
            <w:r w:rsidRPr="00032E44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425"/>
          <w:jc w:val="center"/>
        </w:trPr>
        <w:tc>
          <w:tcPr>
            <w:tcW w:w="1436" w:type="dxa"/>
            <w:gridSpan w:val="2"/>
            <w:vMerge/>
          </w:tcPr>
          <w:p w:rsidR="00E23D87" w:rsidRPr="00032E44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032E44">
              <w:rPr>
                <w:rFonts w:eastAsia="標楷體" w:hAnsi="標楷體"/>
              </w:rPr>
              <w:t>輔導學生參加校外學術以外競賽獲獎者、輔導學生考取專業證照，</w:t>
            </w:r>
            <w:r w:rsidRPr="00032E44">
              <w:rPr>
                <w:rFonts w:eastAsia="標楷體" w:hAnsi="標楷體" w:hint="eastAsia"/>
              </w:rPr>
              <w:t>每學期</w:t>
            </w:r>
            <w:r w:rsidRPr="00032E44">
              <w:rPr>
                <w:rFonts w:eastAsia="標楷體" w:hAnsi="標楷體"/>
              </w:rPr>
              <w:t>每</w:t>
            </w:r>
            <w:r w:rsidRPr="00032E44">
              <w:rPr>
                <w:rFonts w:eastAsia="標楷體" w:hAnsi="標楷體" w:hint="eastAsia"/>
              </w:rPr>
              <w:t>案</w:t>
            </w:r>
            <w:r w:rsidRPr="00032E44">
              <w:rPr>
                <w:rFonts w:eastAsia="標楷體" w:hAnsi="標楷體" w:hint="eastAsia"/>
              </w:rPr>
              <w:t>5</w:t>
            </w:r>
            <w:r w:rsidRPr="00032E44">
              <w:rPr>
                <w:rFonts w:eastAsia="標楷體" w:hAnsi="標楷體"/>
              </w:rPr>
              <w:t>分，最高</w:t>
            </w:r>
            <w:proofErr w:type="gramStart"/>
            <w:r w:rsidRPr="00032E44">
              <w:rPr>
                <w:rFonts w:eastAsia="標楷體" w:hAnsi="標楷體"/>
              </w:rPr>
              <w:t>採</w:t>
            </w:r>
            <w:proofErr w:type="gramEnd"/>
            <w:r w:rsidRPr="00032E44">
              <w:rPr>
                <w:rFonts w:eastAsia="標楷體" w:hAnsi="標楷體"/>
              </w:rPr>
              <w:t>計</w:t>
            </w:r>
            <w:r w:rsidRPr="00032E44">
              <w:rPr>
                <w:rFonts w:eastAsia="標楷體"/>
              </w:rPr>
              <w:t>20</w:t>
            </w:r>
            <w:r w:rsidRPr="00032E44">
              <w:rPr>
                <w:rFonts w:eastAsia="標楷體" w:hAnsi="標楷體"/>
              </w:rPr>
              <w:t>分（請提供具體事實）。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032E44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032E44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 w:hAnsi="標楷體"/>
              </w:rPr>
            </w:pPr>
            <w:r w:rsidRPr="00032E44">
              <w:rPr>
                <w:rFonts w:eastAsia="標楷體" w:hAnsi="標楷體"/>
              </w:rPr>
              <w:t>配合或協助</w:t>
            </w:r>
            <w:r w:rsidRPr="00032E44">
              <w:rPr>
                <w:rFonts w:eastAsia="標楷體" w:hAnsi="標楷體" w:hint="eastAsia"/>
              </w:rPr>
              <w:t>共教會及所屬中心</w:t>
            </w:r>
            <w:r w:rsidRPr="00032E44">
              <w:rPr>
                <w:rFonts w:eastAsia="標楷體" w:hAnsi="標楷體"/>
              </w:rPr>
              <w:t>推動</w:t>
            </w:r>
            <w:r w:rsidRPr="00032E44">
              <w:rPr>
                <w:rFonts w:eastAsia="標楷體" w:hAnsi="標楷體" w:hint="eastAsia"/>
              </w:rPr>
              <w:t>相關活動及輔導服務工作</w:t>
            </w:r>
            <w:r w:rsidRPr="00032E44">
              <w:rPr>
                <w:rFonts w:eastAsia="標楷體" w:hAnsi="標楷體"/>
              </w:rPr>
              <w:t>（</w:t>
            </w:r>
            <w:r w:rsidRPr="00032E44">
              <w:rPr>
                <w:rFonts w:eastAsia="標楷體" w:hAnsi="標楷體" w:hint="eastAsia"/>
              </w:rPr>
              <w:t>受評教師提供佐證資料</w:t>
            </w:r>
            <w:r w:rsidRPr="00032E44">
              <w:rPr>
                <w:rFonts w:eastAsia="標楷體" w:hAnsi="標楷體"/>
              </w:rPr>
              <w:t>由各單位教評會認定，最高</w:t>
            </w:r>
            <w:r w:rsidRPr="00032E44">
              <w:rPr>
                <w:rFonts w:eastAsia="標楷體"/>
              </w:rPr>
              <w:t>10</w:t>
            </w:r>
            <w:r w:rsidRPr="00032E44">
              <w:rPr>
                <w:rFonts w:eastAsia="標楷體" w:hAnsi="標楷體"/>
              </w:rPr>
              <w:t>分）。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擔任各級學術及行政職務者（一級主管每年</w:t>
            </w:r>
            <w:r>
              <w:rPr>
                <w:rFonts w:eastAsia="標楷體" w:hint="eastAsia"/>
              </w:rPr>
              <w:t>20</w:t>
            </w:r>
            <w:r w:rsidRPr="00E47A86">
              <w:rPr>
                <w:rFonts w:eastAsia="標楷體" w:hAnsi="標楷體"/>
              </w:rPr>
              <w:t>分，二級主管每年</w:t>
            </w:r>
            <w:r>
              <w:rPr>
                <w:rFonts w:eastAsia="標楷體" w:hint="eastAsia"/>
              </w:rPr>
              <w:t>15</w:t>
            </w:r>
            <w:r w:rsidRPr="00E47A86">
              <w:rPr>
                <w:rFonts w:eastAsia="標楷體" w:hAnsi="標楷體"/>
              </w:rPr>
              <w:t>分，半年者以二分之一計分，超過半年未滿一年者以一年計）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擔任本校各級（含校、院、系）委員會委員及代表（每年每一職務</w:t>
            </w:r>
            <w:r>
              <w:rPr>
                <w:rFonts w:eastAsia="標楷體" w:hint="eastAsia"/>
              </w:rPr>
              <w:t>3</w:t>
            </w:r>
            <w:r w:rsidRPr="00E47A86">
              <w:rPr>
                <w:rFonts w:eastAsia="標楷體" w:hAnsi="標楷體"/>
              </w:rPr>
              <w:t>分，半年者以二分之一計分，超過半年未滿一年者以一年計，無故缺席逾</w:t>
            </w:r>
            <w:r w:rsidRPr="00E47A86">
              <w:rPr>
                <w:rFonts w:eastAsia="標楷體"/>
              </w:rPr>
              <w:t>1/2</w:t>
            </w:r>
            <w:r w:rsidRPr="00E47A86">
              <w:rPr>
                <w:rFonts w:eastAsia="標楷體" w:hAnsi="標楷體"/>
              </w:rPr>
              <w:t>不予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計）。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12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擔任專業教室管理老師或</w:t>
            </w:r>
            <w:r>
              <w:rPr>
                <w:rFonts w:eastAsia="標楷體" w:hAnsi="標楷體" w:hint="eastAsia"/>
              </w:rPr>
              <w:t>共教會所屬</w:t>
            </w:r>
            <w:r w:rsidRPr="00E47A86">
              <w:rPr>
                <w:rFonts w:eastAsia="標楷體" w:hAnsi="標楷體"/>
              </w:rPr>
              <w:t>教</w:t>
            </w:r>
            <w:r>
              <w:rPr>
                <w:rFonts w:eastAsia="標楷體" w:hAnsi="標楷體" w:hint="eastAsia"/>
              </w:rPr>
              <w:t>學中心</w:t>
            </w:r>
            <w:r w:rsidRPr="00E47A86">
              <w:rPr>
                <w:rFonts w:eastAsia="標楷體" w:hAnsi="標楷體"/>
              </w:rPr>
              <w:t>教學小組召集人，每年每間專業教室或每人次</w:t>
            </w:r>
            <w:r w:rsidRPr="00E47A86">
              <w:rPr>
                <w:rFonts w:eastAsia="標楷體"/>
              </w:rPr>
              <w:t>5</w:t>
            </w:r>
            <w:r w:rsidRPr="00E47A86">
              <w:rPr>
                <w:rFonts w:eastAsia="標楷體" w:hAnsi="標楷體"/>
              </w:rPr>
              <w:t>分，最高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</w:t>
            </w:r>
            <w:r>
              <w:rPr>
                <w:rFonts w:eastAsia="標楷體" w:hint="eastAsia"/>
              </w:rPr>
              <w:t>20</w:t>
            </w:r>
            <w:r w:rsidRPr="00E47A86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0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校內</w:t>
            </w:r>
            <w:r>
              <w:rPr>
                <w:rFonts w:eastAsia="標楷體" w:hAnsi="標楷體"/>
              </w:rPr>
              <w:t>外服務（專題演講、學術會議主持或評論人、論文或計畫審查委員、縣</w:t>
            </w:r>
            <w:r>
              <w:rPr>
                <w:rFonts w:eastAsia="標楷體" w:hAnsi="標楷體" w:hint="eastAsia"/>
              </w:rPr>
              <w:t>(</w:t>
            </w:r>
            <w:r w:rsidRPr="00E47A86">
              <w:rPr>
                <w:rFonts w:eastAsia="標楷體" w:hAnsi="標楷體"/>
              </w:rPr>
              <w:t>含</w:t>
            </w:r>
            <w:r>
              <w:rPr>
                <w:rFonts w:eastAsia="標楷體" w:hAnsi="標楷體" w:hint="eastAsia"/>
              </w:rPr>
              <w:t>)</w:t>
            </w:r>
            <w:r w:rsidRPr="00E47A86">
              <w:rPr>
                <w:rFonts w:eastAsia="標楷體" w:hAnsi="標楷體"/>
              </w:rPr>
              <w:t>級以上的訓練班授課、承</w:t>
            </w:r>
            <w:r w:rsidRPr="00E47A86">
              <w:rPr>
                <w:rFonts w:eastAsia="標楷體"/>
              </w:rPr>
              <w:t>(</w:t>
            </w:r>
            <w:r w:rsidRPr="00E47A86">
              <w:rPr>
                <w:rFonts w:eastAsia="標楷體" w:hAnsi="標楷體"/>
              </w:rPr>
              <w:t>協</w:t>
            </w:r>
            <w:r w:rsidRPr="00E47A86">
              <w:rPr>
                <w:rFonts w:eastAsia="標楷體"/>
              </w:rPr>
              <w:t>)</w:t>
            </w:r>
            <w:r w:rsidRPr="00E47A86">
              <w:rPr>
                <w:rFonts w:eastAsia="標楷體" w:hAnsi="標楷體"/>
              </w:rPr>
              <w:t>辦學術研討會或期刊編輯、招生、國家及證照考試命題與閱卷、書面審查及口試委員、政府機構顧問或委員以及協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)</w:t>
            </w:r>
            <w:r w:rsidRPr="00E47A86">
              <w:rPr>
                <w:rFonts w:eastAsia="標楷體" w:hAnsi="標楷體"/>
              </w:rPr>
              <w:t>會理監事或幹部），並有助提升本校校譽與實質效益者等，每件</w:t>
            </w:r>
            <w:r>
              <w:rPr>
                <w:rFonts w:eastAsia="標楷體" w:hAnsi="標楷體" w:hint="eastAsia"/>
              </w:rPr>
              <w:t>最高</w:t>
            </w:r>
            <w:r>
              <w:rPr>
                <w:rFonts w:eastAsia="標楷體" w:hint="eastAsia"/>
              </w:rPr>
              <w:t>5</w:t>
            </w:r>
            <w:r w:rsidRPr="00E47A86">
              <w:rPr>
                <w:rFonts w:eastAsia="標楷體" w:hAnsi="標楷體"/>
              </w:rPr>
              <w:t>分，最高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</w:t>
            </w:r>
            <w:r w:rsidRPr="00E47A86">
              <w:rPr>
                <w:rFonts w:eastAsia="標楷體"/>
              </w:rPr>
              <w:t>20</w:t>
            </w:r>
            <w:r w:rsidRPr="00E47A86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0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擔任進修推廣教學（進修推廣部、在職碩士專班、學分班、非學分班、暑期班、支援</w:t>
            </w:r>
            <w:r>
              <w:rPr>
                <w:rFonts w:eastAsia="標楷體" w:hAnsi="標楷體"/>
              </w:rPr>
              <w:t>跨系</w:t>
            </w:r>
            <w:r>
              <w:rPr>
                <w:rFonts w:eastAsia="標楷體" w:hAnsi="標楷體" w:hint="eastAsia"/>
              </w:rPr>
              <w:t>所</w:t>
            </w:r>
            <w:r w:rsidRPr="00E47A86">
              <w:rPr>
                <w:rFonts w:eastAsia="標楷體" w:hAnsi="標楷體"/>
              </w:rPr>
              <w:t>及通識課程、空中大學、公民營機構委辦班及本校自辦訓練班等），每學期每科目</w:t>
            </w:r>
            <w:r>
              <w:rPr>
                <w:rFonts w:eastAsia="標楷體" w:hAnsi="標楷體" w:hint="eastAsia"/>
              </w:rPr>
              <w:t>5</w:t>
            </w:r>
            <w:r w:rsidRPr="00E47A86">
              <w:rPr>
                <w:rFonts w:eastAsia="標楷體" w:hAnsi="標楷體"/>
              </w:rPr>
              <w:t>分，</w:t>
            </w:r>
            <w:proofErr w:type="gramStart"/>
            <w:r w:rsidRPr="00E47A86">
              <w:rPr>
                <w:rFonts w:eastAsia="標楷體" w:hAnsi="標楷體"/>
              </w:rPr>
              <w:t>不滿一</w:t>
            </w:r>
            <w:proofErr w:type="gramEnd"/>
            <w:r w:rsidRPr="00E47A86">
              <w:rPr>
                <w:rFonts w:eastAsia="標楷體" w:hAnsi="標楷體"/>
              </w:rPr>
              <w:t>學期以一學期計，最高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</w:t>
            </w:r>
            <w:r w:rsidRPr="00E47A86">
              <w:rPr>
                <w:rFonts w:eastAsia="標楷體"/>
              </w:rPr>
              <w:t>20</w:t>
            </w:r>
            <w:r w:rsidRPr="00E47A86">
              <w:rPr>
                <w:rFonts w:eastAsia="標楷體" w:hAnsi="標楷體"/>
              </w:rPr>
              <w:t>分。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0"/>
          <w:jc w:val="center"/>
        </w:trPr>
        <w:tc>
          <w:tcPr>
            <w:tcW w:w="1436" w:type="dxa"/>
            <w:gridSpan w:val="2"/>
            <w:vMerge/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E23D87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其他（募款、配合學校推動校務及協助辦理各項考試等與校內外服務有關之事蹟，或協助學生生活、就業</w:t>
            </w:r>
            <w:r w:rsidRPr="00E47A86">
              <w:rPr>
                <w:rFonts w:eastAsia="標楷體" w:hAnsi="標楷體"/>
                <w:sz w:val="22"/>
              </w:rPr>
              <w:t>、</w:t>
            </w:r>
            <w:r w:rsidRPr="00E47A86">
              <w:rPr>
                <w:rFonts w:eastAsia="標楷體" w:hAnsi="標楷體"/>
              </w:rPr>
              <w:t>升學、課外輔導具成效），每項</w:t>
            </w:r>
            <w:r>
              <w:rPr>
                <w:rFonts w:eastAsia="標楷體" w:hAnsi="標楷體" w:hint="eastAsia"/>
              </w:rPr>
              <w:t>最高</w:t>
            </w:r>
            <w:r w:rsidRPr="00E47A86">
              <w:rPr>
                <w:rFonts w:eastAsia="標楷體"/>
              </w:rPr>
              <w:t>5</w:t>
            </w:r>
            <w:r w:rsidRPr="00E47A86">
              <w:rPr>
                <w:rFonts w:eastAsia="標楷體" w:hAnsi="標楷體"/>
              </w:rPr>
              <w:t>分，最高</w:t>
            </w:r>
            <w:proofErr w:type="gramStart"/>
            <w:r w:rsidRPr="00E47A86">
              <w:rPr>
                <w:rFonts w:eastAsia="標楷體" w:hAnsi="標楷體"/>
              </w:rPr>
              <w:t>採</w:t>
            </w:r>
            <w:proofErr w:type="gramEnd"/>
            <w:r w:rsidRPr="00E47A86">
              <w:rPr>
                <w:rFonts w:eastAsia="標楷體" w:hAnsi="標楷體"/>
              </w:rPr>
              <w:t>計</w:t>
            </w:r>
            <w:r w:rsidRPr="00E47A86">
              <w:rPr>
                <w:rFonts w:eastAsia="標楷體"/>
              </w:rPr>
              <w:t>20</w:t>
            </w:r>
            <w:r w:rsidRPr="00E47A86">
              <w:rPr>
                <w:rFonts w:eastAsia="標楷體" w:hAnsi="標楷體"/>
              </w:rPr>
              <w:t>分</w:t>
            </w:r>
            <w:r w:rsidRPr="00E47A86">
              <w:rPr>
                <w:rFonts w:eastAsia="標楷體"/>
              </w:rPr>
              <w:t>(</w:t>
            </w:r>
            <w:r w:rsidRPr="00E47A86">
              <w:rPr>
                <w:rFonts w:eastAsia="標楷體" w:hAnsi="標楷體"/>
              </w:rPr>
              <w:t>請提供具體事實</w:t>
            </w:r>
            <w:r w:rsidRPr="00E47A86">
              <w:rPr>
                <w:rFonts w:eastAsia="標楷體"/>
              </w:rPr>
              <w:t>)</w:t>
            </w:r>
            <w:r w:rsidRPr="00E47A86">
              <w:rPr>
                <w:rFonts w:eastAsia="標楷體" w:hAnsi="標楷體"/>
              </w:rPr>
              <w:t>。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40"/>
          <w:jc w:val="center"/>
        </w:trPr>
        <w:tc>
          <w:tcPr>
            <w:tcW w:w="1436" w:type="dxa"/>
            <w:gridSpan w:val="2"/>
            <w:vMerge/>
            <w:textDirection w:val="tbRlV"/>
            <w:vAlign w:val="center"/>
          </w:tcPr>
          <w:p w:rsidR="00E23D87" w:rsidRPr="00E47A86" w:rsidRDefault="00E23D87" w:rsidP="00D7109E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32" w:type="dxa"/>
            <w:vAlign w:val="center"/>
          </w:tcPr>
          <w:p w:rsidR="00E23D87" w:rsidRPr="00E47A86" w:rsidRDefault="00E23D87" w:rsidP="00D7109E">
            <w:pPr>
              <w:wordWrap w:val="0"/>
              <w:jc w:val="right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超過</w:t>
            </w:r>
            <w:r w:rsidRPr="00E47A86">
              <w:rPr>
                <w:rFonts w:eastAsia="標楷體"/>
              </w:rPr>
              <w:t>100</w:t>
            </w:r>
            <w:r w:rsidRPr="00E47A86">
              <w:rPr>
                <w:rFonts w:eastAsia="標楷體" w:hAnsi="標楷體"/>
              </w:rPr>
              <w:t>分者以</w:t>
            </w:r>
            <w:r w:rsidRPr="00E47A86">
              <w:rPr>
                <w:rFonts w:eastAsia="標楷體"/>
              </w:rPr>
              <w:t>100</w:t>
            </w:r>
            <w:r w:rsidRPr="00E47A86">
              <w:rPr>
                <w:rFonts w:eastAsia="標楷體" w:hAnsi="標楷體"/>
              </w:rPr>
              <w:t xml:space="preserve">分計　　</w:t>
            </w:r>
            <w:r w:rsidRPr="00E47A86">
              <w:rPr>
                <w:rFonts w:eastAsia="標楷體"/>
              </w:rPr>
              <w:t xml:space="preserve">       </w:t>
            </w:r>
            <w:r w:rsidRPr="00E47A86">
              <w:rPr>
                <w:rFonts w:eastAsia="標楷體" w:hAnsi="標楷體"/>
              </w:rPr>
              <w:t xml:space="preserve">　小</w:t>
            </w:r>
            <w:r w:rsidRPr="00E47A86">
              <w:rPr>
                <w:rFonts w:eastAsia="標楷體"/>
              </w:rPr>
              <w:t xml:space="preserve"> </w:t>
            </w:r>
            <w:r w:rsidRPr="00E47A86">
              <w:rPr>
                <w:rFonts w:eastAsia="標楷體" w:hAnsi="標楷體"/>
              </w:rPr>
              <w:t xml:space="preserve">　</w:t>
            </w:r>
            <w:r w:rsidRPr="00E47A86">
              <w:rPr>
                <w:rFonts w:eastAsia="標楷體"/>
              </w:rPr>
              <w:t xml:space="preserve"> </w:t>
            </w:r>
            <w:r w:rsidRPr="00E47A86">
              <w:rPr>
                <w:rFonts w:eastAsia="標楷體" w:hAnsi="標楷體"/>
              </w:rPr>
              <w:t>計</w:t>
            </w:r>
          </w:p>
        </w:tc>
        <w:tc>
          <w:tcPr>
            <w:tcW w:w="1085" w:type="dxa"/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40"/>
          <w:jc w:val="center"/>
        </w:trPr>
        <w:tc>
          <w:tcPr>
            <w:tcW w:w="1436" w:type="dxa"/>
            <w:gridSpan w:val="2"/>
            <w:vMerge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rPr>
                <w:rFonts w:eastAsia="標楷體"/>
                <w:sz w:val="20"/>
              </w:rPr>
            </w:pPr>
          </w:p>
        </w:tc>
        <w:tc>
          <w:tcPr>
            <w:tcW w:w="5832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right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 xml:space="preserve">　　　　　　　　　　　　　　　　　實　　得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ind w:left="252"/>
              <w:jc w:val="both"/>
              <w:rPr>
                <w:rFonts w:eastAsia="標楷體"/>
                <w:sz w:val="20"/>
              </w:rPr>
            </w:pPr>
          </w:p>
        </w:tc>
      </w:tr>
      <w:tr w:rsidR="00E23D87" w:rsidRPr="00E47A86" w:rsidTr="00D7109E">
        <w:trPr>
          <w:cantSplit/>
          <w:trHeight w:val="525"/>
          <w:jc w:val="center"/>
        </w:trPr>
        <w:tc>
          <w:tcPr>
            <w:tcW w:w="726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</w:rPr>
            </w:pPr>
            <w:r w:rsidRPr="00E47A86">
              <w:rPr>
                <w:rFonts w:eastAsia="標楷體" w:hAnsi="標楷體"/>
              </w:rPr>
              <w:t>三項合計實得總分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  <w:vAlign w:val="center"/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E23D87" w:rsidRPr="00E47A86" w:rsidRDefault="00E23D87" w:rsidP="00D7109E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E23D87" w:rsidRDefault="00E23D87" w:rsidP="00E23D87">
      <w:pPr>
        <w:pStyle w:val="a6"/>
        <w:spacing w:beforeLines="100" w:before="360" w:after="0" w:line="0" w:lineRule="atLeast"/>
        <w:ind w:leftChars="125" w:left="1188" w:rightChars="-118" w:right="-283" w:hangingChars="370" w:hanging="888"/>
        <w:rPr>
          <w:rFonts w:ascii="標楷體" w:eastAsia="標楷體" w:hAnsi="標楷體"/>
        </w:rPr>
      </w:pPr>
      <w:r w:rsidRPr="00032E44">
        <w:rPr>
          <w:rFonts w:ascii="標楷體" w:eastAsia="標楷體" w:hAnsi="標楷體" w:hint="eastAsia"/>
        </w:rPr>
        <w:t>附註：一、本評鑑項目及</w:t>
      </w:r>
      <w:proofErr w:type="gramStart"/>
      <w:r w:rsidRPr="00032E44">
        <w:rPr>
          <w:rFonts w:ascii="標楷體" w:eastAsia="標楷體" w:hAnsi="標楷體" w:hint="eastAsia"/>
        </w:rPr>
        <w:t>配分表</w:t>
      </w:r>
      <w:proofErr w:type="gramEnd"/>
      <w:r w:rsidRPr="00032E44">
        <w:rPr>
          <w:rFonts w:ascii="標楷體" w:eastAsia="標楷體" w:hAnsi="標楷體" w:hint="eastAsia"/>
        </w:rPr>
        <w:t>，由教師先行自評，再送各系（所）、中心檢</w:t>
      </w:r>
      <w:proofErr w:type="gramStart"/>
      <w:r w:rsidRPr="00032E44">
        <w:rPr>
          <w:rFonts w:ascii="標楷體" w:eastAsia="標楷體" w:hAnsi="標楷體" w:hint="eastAsia"/>
        </w:rPr>
        <w:t>覈</w:t>
      </w:r>
      <w:proofErr w:type="gramEnd"/>
    </w:p>
    <w:p w:rsidR="00E23D87" w:rsidRPr="00032E44" w:rsidRDefault="00E23D87" w:rsidP="00E23D87">
      <w:pPr>
        <w:pStyle w:val="a6"/>
        <w:spacing w:after="0" w:line="0" w:lineRule="atLeast"/>
        <w:ind w:leftChars="495" w:left="1188" w:rightChars="-118" w:right="-283" w:firstLineChars="95" w:firstLine="228"/>
        <w:rPr>
          <w:rFonts w:ascii="標楷體" w:eastAsia="標楷體" w:hAnsi="標楷體"/>
        </w:rPr>
      </w:pPr>
      <w:r w:rsidRPr="00032E44">
        <w:rPr>
          <w:rFonts w:ascii="標楷體" w:eastAsia="標楷體" w:hAnsi="標楷體" w:hint="eastAsia"/>
        </w:rPr>
        <w:t>通過後，提送院教</w:t>
      </w:r>
      <w:proofErr w:type="gramStart"/>
      <w:r w:rsidRPr="00032E44">
        <w:rPr>
          <w:rFonts w:ascii="標楷體" w:eastAsia="標楷體" w:hAnsi="標楷體" w:hint="eastAsia"/>
        </w:rPr>
        <w:t>評會初評</w:t>
      </w:r>
      <w:proofErr w:type="gramEnd"/>
      <w:r w:rsidRPr="00032E44">
        <w:rPr>
          <w:rFonts w:ascii="標楷體" w:eastAsia="標楷體" w:hAnsi="標楷體" w:hint="eastAsia"/>
        </w:rPr>
        <w:t>。</w:t>
      </w:r>
    </w:p>
    <w:p w:rsidR="00E23D87" w:rsidRPr="00032E44" w:rsidRDefault="00E23D87" w:rsidP="00E23D87">
      <w:pPr>
        <w:pStyle w:val="a6"/>
        <w:spacing w:line="280" w:lineRule="exact"/>
        <w:ind w:leftChars="400" w:left="1440" w:rightChars="-118" w:right="-283" w:hangingChars="200" w:hanging="480"/>
        <w:rPr>
          <w:rFonts w:ascii="標楷體" w:eastAsia="標楷體" w:hAnsi="標楷體"/>
        </w:rPr>
      </w:pPr>
      <w:r w:rsidRPr="00032E44">
        <w:rPr>
          <w:rFonts w:ascii="標楷體" w:eastAsia="標楷體" w:hAnsi="標楷體" w:hint="eastAsia"/>
        </w:rPr>
        <w:t>二、教師評鑑項目分為「教學績效」、「研究及產學合作績效」、「輔導及服務績效」三部分</w:t>
      </w:r>
      <w:proofErr w:type="gramStart"/>
      <w:r w:rsidRPr="00032E44">
        <w:rPr>
          <w:rFonts w:ascii="標楷體" w:eastAsia="標楷體" w:hAnsi="標楷體" w:hint="eastAsia"/>
        </w:rPr>
        <w:t>三項目均須達</w:t>
      </w:r>
      <w:proofErr w:type="gramEnd"/>
      <w:r w:rsidRPr="00032E44">
        <w:rPr>
          <w:rFonts w:ascii="標楷體" w:eastAsia="標楷體" w:hAnsi="標楷體" w:hint="eastAsia"/>
        </w:rPr>
        <w:t>70分(含)以上，始為通過。</w:t>
      </w:r>
    </w:p>
    <w:p w:rsidR="00E23D87" w:rsidRDefault="00E23D87" w:rsidP="00E23D87">
      <w:pPr>
        <w:pStyle w:val="a6"/>
        <w:spacing w:line="280" w:lineRule="exact"/>
        <w:ind w:leftChars="400" w:left="1440" w:rightChars="-118" w:right="-283" w:hangingChars="200" w:hanging="480"/>
        <w:rPr>
          <w:rFonts w:ascii="標楷體" w:hAnsi="標楷體"/>
        </w:rPr>
      </w:pPr>
      <w:r w:rsidRPr="00BF41B0">
        <w:rPr>
          <w:rFonts w:ascii="標楷體" w:eastAsia="標楷體" w:hAnsi="標楷體" w:hint="eastAsia"/>
        </w:rPr>
        <w:t>三、「掠奪性期刊」相關資訊，請參閱教育部台灣學術倫理教育資源中心。</w:t>
      </w:r>
      <w:r w:rsidRPr="00032E44">
        <w:rPr>
          <w:rFonts w:ascii="標楷體" w:hAnsi="標楷體" w:hint="eastAsia"/>
        </w:rPr>
        <w:t xml:space="preserve">      </w:t>
      </w:r>
    </w:p>
    <w:p w:rsidR="00E23D87" w:rsidRDefault="00E23D87" w:rsidP="00E23D87">
      <w:pPr>
        <w:pStyle w:val="a6"/>
        <w:spacing w:line="280" w:lineRule="exact"/>
        <w:ind w:leftChars="400" w:left="1440" w:rightChars="-118" w:right="-283" w:hangingChars="200" w:hanging="480"/>
        <w:jc w:val="center"/>
        <w:rPr>
          <w:rFonts w:ascii="標楷體" w:eastAsia="標楷體" w:hAnsi="標楷體"/>
        </w:rPr>
      </w:pPr>
    </w:p>
    <w:p w:rsidR="00E23D87" w:rsidRPr="00E23D87" w:rsidRDefault="00E23D87" w:rsidP="00E23D87">
      <w:pPr>
        <w:pStyle w:val="a6"/>
        <w:spacing w:line="280" w:lineRule="exact"/>
        <w:ind w:leftChars="400" w:left="1440" w:rightChars="-118" w:right="-283" w:hangingChars="200" w:hanging="480"/>
        <w:jc w:val="center"/>
        <w:rPr>
          <w:rFonts w:ascii="標楷體" w:eastAsia="標楷體" w:hAnsi="標楷體"/>
          <w:u w:val="single"/>
        </w:rPr>
      </w:pPr>
      <w:r w:rsidRPr="00E23D87">
        <w:rPr>
          <w:rFonts w:ascii="標楷體" w:eastAsia="標楷體" w:hAnsi="標楷體" w:hint="eastAsia"/>
        </w:rPr>
        <w:t>院評委員簽名：</w:t>
      </w:r>
    </w:p>
    <w:p w:rsidR="00E23D87" w:rsidRPr="00EB356D" w:rsidRDefault="00E23D87" w:rsidP="00E23D87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w w:val="95"/>
          <w:sz w:val="28"/>
          <w:szCs w:val="28"/>
        </w:rPr>
        <w:br w:type="page"/>
      </w:r>
      <w:proofErr w:type="gramStart"/>
      <w:r w:rsidRPr="00EB356D">
        <w:rPr>
          <w:rFonts w:ascii="標楷體" w:eastAsia="標楷體" w:hAnsi="標楷體"/>
          <w:w w:val="95"/>
          <w:sz w:val="32"/>
        </w:rPr>
        <w:lastRenderedPageBreak/>
        <w:t>科技部對</w:t>
      </w:r>
      <w:proofErr w:type="gramEnd"/>
      <w:r w:rsidRPr="00EB356D">
        <w:rPr>
          <w:rFonts w:ascii="標楷體" w:eastAsia="標楷體" w:hAnsi="標楷體"/>
          <w:w w:val="95"/>
          <w:sz w:val="32"/>
        </w:rPr>
        <w:t>「掠奪性期刊及研討會」議題之聲明</w:t>
      </w:r>
    </w:p>
    <w:p w:rsidR="00E23D87" w:rsidRPr="00EB356D" w:rsidRDefault="00E23D87" w:rsidP="00E23D87">
      <w:pPr>
        <w:pStyle w:val="a4"/>
        <w:ind w:left="480" w:rightChars="117" w:right="281"/>
        <w:rPr>
          <w:rFonts w:ascii="標楷體" w:eastAsia="標楷體" w:hAnsi="標楷體"/>
          <w:sz w:val="32"/>
        </w:rPr>
      </w:pPr>
    </w:p>
    <w:p w:rsidR="00E23D87" w:rsidRPr="003725D5" w:rsidRDefault="00E23D87" w:rsidP="00E23D87">
      <w:pPr>
        <w:pStyle w:val="a4"/>
        <w:spacing w:beforeLines="50" w:before="180" w:afterLines="50" w:after="180" w:line="0" w:lineRule="atLeast"/>
        <w:ind w:left="480" w:rightChars="117" w:right="281" w:firstLine="566"/>
        <w:jc w:val="both"/>
        <w:rPr>
          <w:rFonts w:ascii="標楷體" w:eastAsia="標楷體" w:hAnsi="標楷體"/>
          <w:sz w:val="28"/>
          <w:szCs w:val="28"/>
        </w:rPr>
      </w:pPr>
      <w:r w:rsidRPr="003725D5">
        <w:rPr>
          <w:rFonts w:ascii="標楷體" w:eastAsia="標楷體" w:hAnsi="標楷體"/>
          <w:sz w:val="28"/>
          <w:szCs w:val="28"/>
        </w:rPr>
        <w:t>學術期刊為學術界發表研究議題與成果最為重要的管道之一，藉由期刊論文的傳播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5D5">
        <w:rPr>
          <w:rFonts w:ascii="標楷體" w:eastAsia="標楷體" w:hAnsi="標楷體"/>
          <w:sz w:val="28"/>
          <w:szCs w:val="28"/>
        </w:rPr>
        <w:t>研究人員能即時掌握科學發展趨勢及最新研究動態，並藉此與學術社群溝通交流。</w:t>
      </w:r>
    </w:p>
    <w:p w:rsidR="00E23D87" w:rsidRPr="003725D5" w:rsidRDefault="00E23D87" w:rsidP="00E23D87">
      <w:pPr>
        <w:pStyle w:val="a4"/>
        <w:spacing w:beforeLines="50" w:before="180" w:afterLines="50" w:after="180" w:line="0" w:lineRule="atLeast"/>
        <w:ind w:left="480" w:rightChars="117" w:right="281" w:firstLine="566"/>
        <w:jc w:val="both"/>
        <w:rPr>
          <w:rFonts w:ascii="標楷體" w:eastAsia="標楷體" w:hAnsi="標楷體"/>
          <w:sz w:val="28"/>
          <w:szCs w:val="28"/>
        </w:rPr>
      </w:pPr>
      <w:r w:rsidRPr="003725D5">
        <w:rPr>
          <w:rFonts w:ascii="標楷體" w:eastAsia="標楷體" w:hAnsi="標楷體"/>
          <w:sz w:val="28"/>
          <w:szCs w:val="28"/>
        </w:rPr>
        <w:t>近年來不肖業者發展出由作者付費交換出版之模式，無視或輕忽論文的學術內涵與編輯品質，且未經嚴謹的同儕審查或完全未經同儕審查，即接受論文刊登。由於各國學者面臨論文發表壓力，此種模式日漸興起，已對學術社群之良性發展造成影響。</w:t>
      </w:r>
    </w:p>
    <w:p w:rsidR="00E23D87" w:rsidRPr="003725D5" w:rsidRDefault="00E23D87" w:rsidP="00E23D87">
      <w:pPr>
        <w:pStyle w:val="a4"/>
        <w:spacing w:beforeLines="50" w:before="180" w:afterLines="50" w:after="180" w:line="0" w:lineRule="atLeast"/>
        <w:ind w:left="480" w:rightChars="117" w:right="28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725D5">
        <w:rPr>
          <w:rFonts w:ascii="標楷體" w:eastAsia="標楷體" w:hAnsi="標楷體"/>
          <w:sz w:val="28"/>
          <w:szCs w:val="28"/>
        </w:rPr>
        <w:t>國際間逐漸意識到此類取巧的出版之竄起與蔓延， 遂有「掠奪性</w:t>
      </w:r>
      <w:r w:rsidRPr="003725D5">
        <w:rPr>
          <w:rFonts w:ascii="標楷體" w:eastAsia="標楷體" w:hAnsi="標楷體"/>
          <w:spacing w:val="-1"/>
          <w:sz w:val="28"/>
          <w:szCs w:val="28"/>
        </w:rPr>
        <w:t>（Predatory）</w:t>
      </w:r>
      <w:r w:rsidRPr="003725D5">
        <w:rPr>
          <w:rFonts w:ascii="標楷體" w:eastAsia="標楷體" w:hAnsi="標楷體"/>
          <w:spacing w:val="-10"/>
          <w:sz w:val="28"/>
          <w:szCs w:val="28"/>
        </w:rPr>
        <w:t>出版商」一詞，並稱該類期刊為「掠奪性期刊」。其後，不少</w:t>
      </w:r>
      <w:r w:rsidRPr="003725D5">
        <w:rPr>
          <w:rFonts w:ascii="標楷體" w:eastAsia="標楷體" w:hAnsi="標楷體"/>
          <w:spacing w:val="-4"/>
          <w:sz w:val="28"/>
          <w:szCs w:val="28"/>
        </w:rPr>
        <w:t>以國際研討會舉辦之會議，其內容及作法亦與上開「掠奪性期刊」同出</w:t>
      </w:r>
      <w:proofErr w:type="gramStart"/>
      <w:r w:rsidRPr="003725D5">
        <w:rPr>
          <w:rFonts w:ascii="標楷體" w:eastAsia="標楷體" w:hAnsi="標楷體"/>
          <w:spacing w:val="-4"/>
          <w:sz w:val="28"/>
          <w:szCs w:val="28"/>
        </w:rPr>
        <w:t>一</w:t>
      </w:r>
      <w:proofErr w:type="gramEnd"/>
      <w:r w:rsidRPr="003725D5">
        <w:rPr>
          <w:rFonts w:ascii="標楷體" w:eastAsia="標楷體" w:hAnsi="標楷體"/>
          <w:spacing w:val="-13"/>
          <w:sz w:val="28"/>
          <w:szCs w:val="28"/>
        </w:rPr>
        <w:t>轍，從而亦將該等研討會稱為「掠奪性研討會</w:t>
      </w:r>
      <w:r w:rsidRPr="003725D5">
        <w:rPr>
          <w:rFonts w:ascii="標楷體" w:eastAsia="標楷體" w:hAnsi="標楷體"/>
          <w:spacing w:val="-28"/>
          <w:sz w:val="28"/>
          <w:szCs w:val="28"/>
        </w:rPr>
        <w:t>」，有關「掠奪性期刊」或「掠</w:t>
      </w:r>
      <w:r w:rsidRPr="003725D5">
        <w:rPr>
          <w:rFonts w:ascii="標楷體" w:eastAsia="標楷體" w:hAnsi="標楷體"/>
          <w:spacing w:val="-10"/>
          <w:sz w:val="28"/>
          <w:szCs w:val="28"/>
        </w:rPr>
        <w:t>奪性研討會」之議題已經引起國際學術界的警覺。</w:t>
      </w:r>
    </w:p>
    <w:p w:rsidR="00E23D87" w:rsidRPr="003725D5" w:rsidRDefault="00E23D87" w:rsidP="00E23D87">
      <w:pPr>
        <w:pStyle w:val="a4"/>
        <w:spacing w:beforeLines="50" w:before="180" w:afterLines="50" w:after="180" w:line="0" w:lineRule="atLeast"/>
        <w:ind w:left="480" w:rightChars="117" w:right="281" w:firstLine="609"/>
        <w:jc w:val="both"/>
        <w:rPr>
          <w:rFonts w:ascii="標楷體" w:eastAsia="標楷體" w:hAnsi="標楷體"/>
          <w:sz w:val="28"/>
          <w:szCs w:val="28"/>
        </w:rPr>
      </w:pPr>
      <w:r w:rsidRPr="003725D5">
        <w:rPr>
          <w:rFonts w:ascii="標楷體" w:eastAsia="標楷體" w:hAnsi="標楷體"/>
          <w:sz w:val="28"/>
          <w:szCs w:val="28"/>
        </w:rPr>
        <w:t>一般而言，掠奪性期刊或研討會不僅無法保證長期（定期）持續出版或召開，亦鮮少收錄於知名期刊索引中，甚難產生正面影響力，無助於學者累積學術聲望。</w:t>
      </w:r>
      <w:proofErr w:type="gramStart"/>
      <w:r w:rsidRPr="003725D5">
        <w:rPr>
          <w:rFonts w:ascii="標楷體" w:eastAsia="標楷體" w:hAnsi="標楷體"/>
          <w:sz w:val="28"/>
          <w:szCs w:val="28"/>
        </w:rPr>
        <w:t>此外，</w:t>
      </w:r>
      <w:proofErr w:type="gramEnd"/>
      <w:r w:rsidRPr="003725D5">
        <w:rPr>
          <w:rFonts w:ascii="標楷體" w:eastAsia="標楷體" w:hAnsi="標楷體"/>
          <w:sz w:val="28"/>
          <w:szCs w:val="28"/>
        </w:rPr>
        <w:t>由於缺乏嚴謹的同儕審查，難以提供投稿者精進改善其研究的機制，此類期刊與研討會經常遭受學術界質疑其發表論文的品質。</w:t>
      </w:r>
    </w:p>
    <w:p w:rsidR="00E23D87" w:rsidRPr="003725D5" w:rsidRDefault="00E23D87" w:rsidP="00E23D87">
      <w:pPr>
        <w:pStyle w:val="a4"/>
        <w:spacing w:beforeLines="50" w:before="180" w:afterLines="50" w:after="180" w:line="0" w:lineRule="atLeast"/>
        <w:ind w:left="480" w:rightChars="117" w:right="281" w:firstLine="607"/>
        <w:jc w:val="both"/>
        <w:rPr>
          <w:rFonts w:ascii="標楷體" w:eastAsia="標楷體" w:hAnsi="標楷體"/>
          <w:sz w:val="28"/>
          <w:szCs w:val="28"/>
        </w:rPr>
      </w:pPr>
      <w:r w:rsidRPr="003725D5">
        <w:rPr>
          <w:rFonts w:ascii="標楷體" w:eastAsia="標楷體" w:hAnsi="標楷體"/>
          <w:sz w:val="28"/>
          <w:szCs w:val="28"/>
        </w:rPr>
        <w:t>本部長期</w:t>
      </w:r>
      <w:proofErr w:type="gramStart"/>
      <w:r w:rsidRPr="003725D5">
        <w:rPr>
          <w:rFonts w:ascii="標楷體" w:eastAsia="標楷體" w:hAnsi="標楷體"/>
          <w:sz w:val="28"/>
          <w:szCs w:val="28"/>
        </w:rPr>
        <w:t>挹</w:t>
      </w:r>
      <w:proofErr w:type="gramEnd"/>
      <w:r w:rsidRPr="003725D5">
        <w:rPr>
          <w:rFonts w:ascii="標楷體" w:eastAsia="標楷體" w:hAnsi="標楷體"/>
          <w:sz w:val="28"/>
          <w:szCs w:val="28"/>
        </w:rPr>
        <w:t>注資源補助學術研究，冀能提升學術品質，帶動產業技術升級，促進社會經濟健全發展。為維護健康的學術研究及發表環境，本部鼓勵學者發表研究成果於學術社群認可之優良期刊及研討會。</w:t>
      </w:r>
    </w:p>
    <w:p w:rsidR="00E23D87" w:rsidRPr="00EB356D" w:rsidRDefault="00E23D87" w:rsidP="00E23D87">
      <w:pPr>
        <w:pStyle w:val="a4"/>
        <w:spacing w:beforeLines="50" w:before="180" w:afterLines="50" w:after="180" w:line="0" w:lineRule="atLeast"/>
        <w:rPr>
          <w:rFonts w:ascii="標楷體" w:eastAsia="標楷體" w:hAnsi="標楷體"/>
          <w:sz w:val="20"/>
        </w:rPr>
      </w:pPr>
    </w:p>
    <w:p w:rsidR="00E23D87" w:rsidRPr="00EB356D" w:rsidRDefault="00E23D87" w:rsidP="00E23D87">
      <w:pPr>
        <w:pStyle w:val="a4"/>
        <w:spacing w:beforeLines="50" w:before="180" w:afterLines="50" w:after="180" w:line="0" w:lineRule="atLeast"/>
        <w:rPr>
          <w:rFonts w:ascii="標楷體" w:eastAsia="標楷體" w:hAnsi="標楷體"/>
          <w:sz w:val="20"/>
        </w:rPr>
      </w:pPr>
    </w:p>
    <w:p w:rsidR="00E23D87" w:rsidRPr="00EB356D" w:rsidRDefault="00E23D87" w:rsidP="00E23D87">
      <w:pPr>
        <w:pStyle w:val="a4"/>
        <w:spacing w:beforeLines="50" w:before="180" w:afterLines="50" w:after="180" w:line="0" w:lineRule="atLeast"/>
        <w:rPr>
          <w:rFonts w:ascii="標楷體" w:eastAsia="標楷體" w:hAnsi="標楷體"/>
          <w:sz w:val="20"/>
        </w:rPr>
      </w:pPr>
    </w:p>
    <w:p w:rsidR="003A3E10" w:rsidRPr="00E23D87" w:rsidRDefault="003A3E10" w:rsidP="00E23D87">
      <w:pPr>
        <w:spacing w:beforeLines="50" w:before="180" w:afterLines="50" w:after="180" w:line="0" w:lineRule="atLeast"/>
      </w:pPr>
    </w:p>
    <w:sectPr w:rsidR="003A3E10" w:rsidRPr="00E23D87" w:rsidSect="00E23D87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FD3"/>
    <w:multiLevelType w:val="hybridMultilevel"/>
    <w:tmpl w:val="C24C623E"/>
    <w:lvl w:ilvl="0" w:tplc="84367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B84BDC"/>
    <w:multiLevelType w:val="hybridMultilevel"/>
    <w:tmpl w:val="76E846C2"/>
    <w:lvl w:ilvl="0" w:tplc="0409000F">
      <w:start w:val="1"/>
      <w:numFmt w:val="decimal"/>
      <w:lvlText w:val="%1."/>
      <w:lvlJc w:val="left"/>
      <w:pPr>
        <w:tabs>
          <w:tab w:val="num" w:pos="518"/>
        </w:tabs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2" w15:restartNumberingAfterBreak="0">
    <w:nsid w:val="51C23B89"/>
    <w:multiLevelType w:val="hybridMultilevel"/>
    <w:tmpl w:val="41BEA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7761BE"/>
    <w:multiLevelType w:val="hybridMultilevel"/>
    <w:tmpl w:val="2F124BEE"/>
    <w:lvl w:ilvl="0" w:tplc="E4F072DE">
      <w:start w:val="3"/>
      <w:numFmt w:val="taiwaneseCountingThousand"/>
      <w:lvlText w:val="%1，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41D7A60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7"/>
    <w:rsid w:val="003A3E10"/>
    <w:rsid w:val="00D33AF5"/>
    <w:rsid w:val="00E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167F-0D54-466C-938E-775B176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87"/>
    <w:pPr>
      <w:ind w:leftChars="200" w:left="480"/>
    </w:pPr>
  </w:style>
  <w:style w:type="paragraph" w:styleId="a4">
    <w:name w:val="Body Text"/>
    <w:basedOn w:val="a"/>
    <w:link w:val="a5"/>
    <w:semiHidden/>
    <w:unhideWhenUsed/>
    <w:rsid w:val="00E23D87"/>
    <w:pPr>
      <w:spacing w:after="120"/>
    </w:pPr>
  </w:style>
  <w:style w:type="character" w:customStyle="1" w:styleId="a5">
    <w:name w:val="本文 字元"/>
    <w:basedOn w:val="a0"/>
    <w:link w:val="a4"/>
    <w:semiHidden/>
    <w:rsid w:val="00E23D87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uiPriority w:val="99"/>
    <w:unhideWhenUsed/>
    <w:rsid w:val="00E23D8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E23D87"/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rsid w:val="00E23D87"/>
    <w:pPr>
      <w:spacing w:before="120" w:line="380" w:lineRule="exact"/>
      <w:jc w:val="center"/>
    </w:pPr>
    <w:rPr>
      <w:rFonts w:eastAsia="標楷體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Meng-Chun Tsai</cp:lastModifiedBy>
  <cp:revision>2</cp:revision>
  <dcterms:created xsi:type="dcterms:W3CDTF">2021-10-19T09:33:00Z</dcterms:created>
  <dcterms:modified xsi:type="dcterms:W3CDTF">2021-10-19T09:33:00Z</dcterms:modified>
</cp:coreProperties>
</file>